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8C328" w14:textId="6E1ED6F3" w:rsidR="001E3923" w:rsidRDefault="001E3923" w:rsidP="001E3923">
      <w:pPr>
        <w:spacing w:line="360" w:lineRule="auto"/>
        <w:jc w:val="center"/>
        <w:rPr>
          <w:rFonts w:ascii="Times New Roman" w:hAnsi="Times New Roman"/>
          <w:b/>
          <w:bCs/>
          <w:color w:val="538135" w:themeColor="accent6" w:themeShade="BF"/>
          <w:sz w:val="24"/>
          <w:szCs w:val="24"/>
        </w:rPr>
      </w:pPr>
      <w:r w:rsidRPr="001E163C">
        <w:rPr>
          <w:rFonts w:ascii="Times New Roman" w:hAnsi="Times New Roman"/>
          <w:b/>
          <w:bCs/>
          <w:color w:val="538135" w:themeColor="accent6" w:themeShade="BF"/>
          <w:sz w:val="24"/>
          <w:szCs w:val="24"/>
        </w:rPr>
        <w:t>TOPIC</w:t>
      </w:r>
    </w:p>
    <w:p w14:paraId="302918AC" w14:textId="0DCE5830" w:rsidR="00B51DA2" w:rsidRDefault="00B51DA2" w:rsidP="001E3923">
      <w:pPr>
        <w:spacing w:line="360" w:lineRule="auto"/>
        <w:jc w:val="center"/>
        <w:rPr>
          <w:rFonts w:ascii="Times New Roman" w:hAnsi="Times New Roman"/>
          <w:b/>
          <w:bCs/>
          <w:color w:val="538135" w:themeColor="accent6" w:themeShade="BF"/>
          <w:sz w:val="24"/>
          <w:szCs w:val="24"/>
        </w:rPr>
      </w:pPr>
      <w:r>
        <w:rPr>
          <w:rFonts w:ascii="Times New Roman" w:hAnsi="Times New Roman"/>
          <w:b/>
          <w:bCs/>
          <w:color w:val="538135" w:themeColor="accent6" w:themeShade="BF"/>
          <w:sz w:val="24"/>
          <w:szCs w:val="24"/>
        </w:rPr>
        <w:t>MODULE IX</w:t>
      </w:r>
    </w:p>
    <w:p w14:paraId="1B8EB466" w14:textId="4CAB7429" w:rsidR="001E3923" w:rsidRDefault="001E3923" w:rsidP="001E3923">
      <w:pPr>
        <w:spacing w:line="360" w:lineRule="auto"/>
        <w:jc w:val="center"/>
        <w:rPr>
          <w:rFonts w:ascii="Times New Roman" w:hAnsi="Times New Roman"/>
          <w:b/>
          <w:bCs/>
          <w:color w:val="538135" w:themeColor="accent6" w:themeShade="BF"/>
          <w:sz w:val="24"/>
          <w:szCs w:val="24"/>
        </w:rPr>
      </w:pPr>
      <w:r w:rsidRPr="001C6F38">
        <w:rPr>
          <w:rFonts w:ascii="Times New Roman" w:hAnsi="Times New Roman" w:cs="Times New Roman"/>
          <w:b/>
          <w:sz w:val="28"/>
          <w:szCs w:val="28"/>
        </w:rPr>
        <w:t>JUDICIAL REVIEW OF ADMINISTRATIVE ACTION</w:t>
      </w:r>
    </w:p>
    <w:p w14:paraId="0D6E4F66" w14:textId="54F9ED82" w:rsidR="001E3923" w:rsidRDefault="001E3923" w:rsidP="001E3923">
      <w:pPr>
        <w:spacing w:line="360" w:lineRule="auto"/>
        <w:jc w:val="center"/>
        <w:rPr>
          <w:rFonts w:ascii="Times New Roman" w:hAnsi="Times New Roman"/>
          <w:b/>
          <w:bCs/>
          <w:color w:val="538135" w:themeColor="accent6" w:themeShade="BF"/>
          <w:sz w:val="24"/>
          <w:szCs w:val="24"/>
        </w:rPr>
      </w:pPr>
      <w:r w:rsidRPr="00FC112F">
        <w:rPr>
          <w:rFonts w:ascii="Times New Roman" w:hAnsi="Times New Roman"/>
          <w:b/>
          <w:bCs/>
          <w:color w:val="538135" w:themeColor="accent6" w:themeShade="BF"/>
          <w:sz w:val="24"/>
          <w:szCs w:val="24"/>
        </w:rPr>
        <w:t>Today’s Topic</w:t>
      </w:r>
    </w:p>
    <w:p w14:paraId="513318C3" w14:textId="25785020" w:rsidR="001E3923" w:rsidRPr="001E3923" w:rsidRDefault="001E3923" w:rsidP="001E3923">
      <w:pPr>
        <w:pStyle w:val="ListParagraph"/>
        <w:numPr>
          <w:ilvl w:val="0"/>
          <w:numId w:val="3"/>
        </w:numPr>
        <w:spacing w:line="360" w:lineRule="auto"/>
        <w:jc w:val="both"/>
        <w:rPr>
          <w:rFonts w:ascii="Times New Roman" w:hAnsi="Times New Roman" w:cs="Times New Roman"/>
          <w:color w:val="000000" w:themeColor="text1"/>
          <w:sz w:val="28"/>
          <w:szCs w:val="28"/>
        </w:rPr>
      </w:pPr>
      <w:r w:rsidRPr="001E3923">
        <w:rPr>
          <w:rFonts w:ascii="Times New Roman" w:hAnsi="Times New Roman" w:cs="Times New Roman"/>
          <w:b/>
          <w:bCs/>
          <w:color w:val="000000" w:themeColor="text1"/>
          <w:sz w:val="28"/>
          <w:szCs w:val="28"/>
        </w:rPr>
        <w:t xml:space="preserve">Meaning of Judicial Review and </w:t>
      </w:r>
      <w:r w:rsidRPr="001E3923">
        <w:rPr>
          <w:rStyle w:val="Strong"/>
          <w:rFonts w:ascii="Times New Roman" w:hAnsi="Times New Roman" w:cs="Times New Roman"/>
          <w:color w:val="000000" w:themeColor="text1"/>
          <w:sz w:val="28"/>
          <w:szCs w:val="28"/>
        </w:rPr>
        <w:t>Administrative Actions</w:t>
      </w:r>
    </w:p>
    <w:p w14:paraId="09B14069" w14:textId="778D0A49" w:rsidR="001E3923" w:rsidRDefault="001E3923" w:rsidP="001E3923">
      <w:pPr>
        <w:pStyle w:val="ListParagraph"/>
        <w:numPr>
          <w:ilvl w:val="0"/>
          <w:numId w:val="3"/>
        </w:numPr>
        <w:spacing w:line="360" w:lineRule="auto"/>
        <w:rPr>
          <w:rFonts w:ascii="Times New Roman" w:hAnsi="Times New Roman" w:cs="Times New Roman"/>
          <w:b/>
          <w:bCs/>
          <w:color w:val="000000" w:themeColor="text1"/>
          <w:sz w:val="28"/>
          <w:szCs w:val="28"/>
          <w:shd w:val="clear" w:color="auto" w:fill="FFFFFF"/>
        </w:rPr>
      </w:pPr>
      <w:r w:rsidRPr="001E3923">
        <w:rPr>
          <w:rFonts w:ascii="Times New Roman" w:hAnsi="Times New Roman" w:cs="Times New Roman"/>
          <w:b/>
          <w:bCs/>
          <w:color w:val="000000" w:themeColor="text1"/>
          <w:sz w:val="28"/>
          <w:szCs w:val="28"/>
          <w:shd w:val="clear" w:color="auto" w:fill="FFFFFF"/>
        </w:rPr>
        <w:t>judicial review of administrative actions under Article 32, and Article 226 of the Indian Constitution.</w:t>
      </w:r>
    </w:p>
    <w:p w14:paraId="78D08010" w14:textId="3FA2C521" w:rsidR="001E3923" w:rsidRDefault="001E3923" w:rsidP="001E3923">
      <w:pPr>
        <w:pStyle w:val="ListParagraph"/>
        <w:spacing w:line="360" w:lineRule="auto"/>
        <w:jc w:val="center"/>
        <w:rPr>
          <w:rFonts w:ascii="Times New Roman" w:hAnsi="Times New Roman" w:cs="Times New Roman"/>
          <w:b/>
          <w:bCs/>
          <w:color w:val="538135" w:themeColor="accent6" w:themeShade="BF"/>
          <w:sz w:val="28"/>
          <w:szCs w:val="28"/>
          <w:shd w:val="clear" w:color="auto" w:fill="FFFFFF"/>
        </w:rPr>
      </w:pPr>
      <w:r>
        <w:rPr>
          <w:rFonts w:ascii="Times New Roman" w:hAnsi="Times New Roman" w:cs="Times New Roman"/>
          <w:b/>
          <w:bCs/>
          <w:color w:val="538135" w:themeColor="accent6" w:themeShade="BF"/>
          <w:sz w:val="28"/>
          <w:szCs w:val="28"/>
          <w:shd w:val="clear" w:color="auto" w:fill="FFFFFF"/>
        </w:rPr>
        <w:t>CASES REFERRED</w:t>
      </w:r>
    </w:p>
    <w:p w14:paraId="323F5FF9" w14:textId="6C10D26D" w:rsidR="001E3923" w:rsidRDefault="00B33AB5" w:rsidP="001E3923">
      <w:pPr>
        <w:spacing w:line="360" w:lineRule="auto"/>
        <w:jc w:val="center"/>
        <w:rPr>
          <w:rFonts w:ascii="Times New Roman" w:hAnsi="Times New Roman" w:cs="Times New Roman"/>
          <w:b/>
          <w:bCs/>
          <w:i/>
          <w:iCs/>
          <w:sz w:val="28"/>
          <w:szCs w:val="28"/>
        </w:rPr>
      </w:pPr>
      <w:hyperlink r:id="rId8" w:tgtFrame="_blank" w:history="1">
        <w:proofErr w:type="spellStart"/>
        <w:r w:rsidR="001E3923" w:rsidRPr="001C6F38">
          <w:rPr>
            <w:rFonts w:ascii="Times New Roman" w:hAnsi="Times New Roman" w:cs="Times New Roman"/>
            <w:b/>
            <w:bCs/>
            <w:i/>
            <w:iCs/>
            <w:sz w:val="28"/>
            <w:szCs w:val="28"/>
          </w:rPr>
          <w:t>Keshvanand</w:t>
        </w:r>
        <w:r w:rsidR="001E3923">
          <w:rPr>
            <w:rFonts w:ascii="Times New Roman" w:hAnsi="Times New Roman" w:cs="Times New Roman"/>
            <w:b/>
            <w:bCs/>
            <w:i/>
            <w:iCs/>
            <w:sz w:val="28"/>
            <w:szCs w:val="28"/>
          </w:rPr>
          <w:t>a</w:t>
        </w:r>
        <w:proofErr w:type="spellEnd"/>
        <w:r w:rsidR="001E3923" w:rsidRPr="001C6F38">
          <w:rPr>
            <w:rFonts w:ascii="Times New Roman" w:hAnsi="Times New Roman" w:cs="Times New Roman"/>
            <w:b/>
            <w:bCs/>
            <w:i/>
            <w:iCs/>
            <w:sz w:val="28"/>
            <w:szCs w:val="28"/>
          </w:rPr>
          <w:t xml:space="preserve"> Bharti v. State of Kerala</w:t>
        </w:r>
      </w:hyperlink>
      <w:r w:rsidR="001E3923" w:rsidRPr="001C6F38">
        <w:rPr>
          <w:rFonts w:ascii="Times New Roman" w:hAnsi="Times New Roman" w:cs="Times New Roman"/>
          <w:b/>
          <w:bCs/>
          <w:i/>
          <w:iCs/>
          <w:sz w:val="28"/>
          <w:szCs w:val="28"/>
        </w:rPr>
        <w:t>.</w:t>
      </w:r>
      <w:r w:rsidR="001E3923">
        <w:rPr>
          <w:rStyle w:val="FootnoteReference"/>
          <w:rFonts w:ascii="Times New Roman" w:hAnsi="Times New Roman" w:cs="Times New Roman"/>
          <w:b/>
          <w:bCs/>
          <w:i/>
          <w:iCs/>
          <w:sz w:val="28"/>
          <w:szCs w:val="28"/>
        </w:rPr>
        <w:footnoteReference w:id="1"/>
      </w:r>
    </w:p>
    <w:p w14:paraId="1CF6124F" w14:textId="0CAA1896" w:rsidR="001E3923" w:rsidRDefault="001E3923" w:rsidP="001E3923">
      <w:pPr>
        <w:spacing w:line="360" w:lineRule="auto"/>
        <w:jc w:val="center"/>
        <w:rPr>
          <w:rFonts w:ascii="Times New Roman" w:hAnsi="Times New Roman" w:cs="Times New Roman"/>
          <w:b/>
          <w:bCs/>
          <w:i/>
          <w:iCs/>
          <w:sz w:val="28"/>
          <w:szCs w:val="28"/>
        </w:rPr>
      </w:pPr>
      <w:r w:rsidRPr="001C6F38">
        <w:rPr>
          <w:rFonts w:ascii="Times New Roman" w:hAnsi="Times New Roman" w:cs="Times New Roman"/>
          <w:b/>
          <w:bCs/>
          <w:i/>
          <w:iCs/>
          <w:sz w:val="28"/>
          <w:szCs w:val="28"/>
        </w:rPr>
        <w:t xml:space="preserve">A.K. </w:t>
      </w:r>
      <w:proofErr w:type="spellStart"/>
      <w:r w:rsidRPr="001C6F38">
        <w:rPr>
          <w:rFonts w:ascii="Times New Roman" w:hAnsi="Times New Roman" w:cs="Times New Roman"/>
          <w:b/>
          <w:bCs/>
          <w:i/>
          <w:iCs/>
          <w:sz w:val="28"/>
          <w:szCs w:val="28"/>
        </w:rPr>
        <w:t>Kraipak</w:t>
      </w:r>
      <w:proofErr w:type="spellEnd"/>
      <w:r w:rsidRPr="001C6F38">
        <w:rPr>
          <w:rFonts w:ascii="Times New Roman" w:hAnsi="Times New Roman" w:cs="Times New Roman"/>
          <w:b/>
          <w:bCs/>
          <w:i/>
          <w:iCs/>
          <w:sz w:val="28"/>
          <w:szCs w:val="28"/>
        </w:rPr>
        <w:t xml:space="preserve"> v. Union of India</w:t>
      </w:r>
    </w:p>
    <w:p w14:paraId="747DFD69" w14:textId="253FDAFB" w:rsidR="001E3923" w:rsidRDefault="001E3923" w:rsidP="001E3923">
      <w:pPr>
        <w:spacing w:line="360" w:lineRule="auto"/>
        <w:jc w:val="center"/>
        <w:rPr>
          <w:rFonts w:ascii="Times New Roman" w:hAnsi="Times New Roman" w:cs="Times New Roman"/>
          <w:b/>
          <w:i/>
          <w:sz w:val="28"/>
          <w:szCs w:val="28"/>
        </w:rPr>
      </w:pPr>
      <w:r w:rsidRPr="001C6F38">
        <w:rPr>
          <w:rFonts w:ascii="Times New Roman" w:hAnsi="Times New Roman" w:cs="Times New Roman"/>
          <w:b/>
          <w:i/>
          <w:sz w:val="28"/>
          <w:szCs w:val="28"/>
        </w:rPr>
        <w:t xml:space="preserve">A.K. Gopalan </w:t>
      </w:r>
      <w:r w:rsidRPr="001C6F38">
        <w:rPr>
          <w:rFonts w:ascii="Times New Roman" w:hAnsi="Times New Roman" w:cs="Times New Roman"/>
          <w:b/>
          <w:sz w:val="28"/>
          <w:szCs w:val="28"/>
        </w:rPr>
        <w:t xml:space="preserve">v. </w:t>
      </w:r>
      <w:r w:rsidRPr="001C6F38">
        <w:rPr>
          <w:rFonts w:ascii="Times New Roman" w:hAnsi="Times New Roman" w:cs="Times New Roman"/>
          <w:b/>
          <w:i/>
          <w:sz w:val="28"/>
          <w:szCs w:val="28"/>
        </w:rPr>
        <w:t>State of Madras</w:t>
      </w:r>
    </w:p>
    <w:p w14:paraId="1DC08AFB" w14:textId="7EA070B5" w:rsidR="001E3923" w:rsidRPr="00693BA4" w:rsidRDefault="001E3923" w:rsidP="001E3923">
      <w:pPr>
        <w:spacing w:line="360" w:lineRule="auto"/>
        <w:jc w:val="center"/>
        <w:rPr>
          <w:rFonts w:ascii="Times New Roman" w:hAnsi="Times New Roman" w:cs="Times New Roman"/>
          <w:sz w:val="28"/>
          <w:szCs w:val="28"/>
        </w:rPr>
      </w:pPr>
      <w:proofErr w:type="spellStart"/>
      <w:r w:rsidRPr="00D5758A">
        <w:rPr>
          <w:rFonts w:ascii="Times New Roman" w:hAnsi="Times New Roman" w:cs="Times New Roman"/>
          <w:b/>
          <w:bCs/>
          <w:i/>
          <w:sz w:val="28"/>
          <w:szCs w:val="28"/>
        </w:rPr>
        <w:t>Jhumman</w:t>
      </w:r>
      <w:proofErr w:type="spellEnd"/>
      <w:r w:rsidRPr="00D5758A">
        <w:rPr>
          <w:rFonts w:ascii="Times New Roman" w:hAnsi="Times New Roman" w:cs="Times New Roman"/>
          <w:b/>
          <w:bCs/>
          <w:i/>
          <w:sz w:val="28"/>
          <w:szCs w:val="28"/>
        </w:rPr>
        <w:t xml:space="preserve"> Singh v. CBI</w:t>
      </w:r>
    </w:p>
    <w:p w14:paraId="62715E66" w14:textId="77777777" w:rsidR="001E3923" w:rsidRPr="001E3923" w:rsidRDefault="001E3923" w:rsidP="001E3923">
      <w:pPr>
        <w:pStyle w:val="ListParagraph"/>
        <w:spacing w:line="360" w:lineRule="auto"/>
        <w:rPr>
          <w:rFonts w:ascii="Times New Roman" w:hAnsi="Times New Roman" w:cs="Times New Roman"/>
          <w:b/>
          <w:bCs/>
          <w:color w:val="538135" w:themeColor="accent6" w:themeShade="BF"/>
          <w:sz w:val="28"/>
          <w:szCs w:val="28"/>
          <w:shd w:val="clear" w:color="auto" w:fill="FFFFFF"/>
        </w:rPr>
      </w:pPr>
    </w:p>
    <w:p w14:paraId="71F68CF0" w14:textId="53A4E25E" w:rsidR="001E3923" w:rsidRPr="001E3923" w:rsidRDefault="001E3923" w:rsidP="001E3923">
      <w:pPr>
        <w:pStyle w:val="ListParagraph"/>
        <w:spacing w:line="360" w:lineRule="auto"/>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w:t>
      </w:r>
    </w:p>
    <w:p w14:paraId="72B494FC" w14:textId="77777777" w:rsidR="00064501" w:rsidRPr="001C6F38" w:rsidRDefault="00064501" w:rsidP="001C6F38">
      <w:pPr>
        <w:spacing w:line="360" w:lineRule="auto"/>
        <w:ind w:left="720" w:firstLine="720"/>
        <w:jc w:val="both"/>
        <w:rPr>
          <w:rFonts w:ascii="Times New Roman" w:hAnsi="Times New Roman" w:cs="Times New Roman"/>
          <w:b/>
          <w:sz w:val="28"/>
          <w:szCs w:val="28"/>
        </w:rPr>
      </w:pPr>
      <w:r w:rsidRPr="001C6F38">
        <w:rPr>
          <w:rFonts w:ascii="Times New Roman" w:hAnsi="Times New Roman" w:cs="Times New Roman"/>
          <w:b/>
          <w:sz w:val="28"/>
          <w:szCs w:val="28"/>
        </w:rPr>
        <w:t>JUDICIAL REVIEW OF ADMINISTRATIVE ACTION</w:t>
      </w:r>
    </w:p>
    <w:p w14:paraId="14C48940" w14:textId="770EE005" w:rsidR="00064501" w:rsidRPr="001C6F38" w:rsidRDefault="00064501" w:rsidP="001C6F38">
      <w:pPr>
        <w:spacing w:line="360" w:lineRule="auto"/>
        <w:ind w:left="720" w:firstLine="720"/>
        <w:jc w:val="both"/>
        <w:rPr>
          <w:rFonts w:ascii="Times New Roman" w:hAnsi="Times New Roman" w:cs="Times New Roman"/>
          <w:b/>
          <w:sz w:val="28"/>
          <w:szCs w:val="28"/>
        </w:rPr>
      </w:pPr>
      <w:r w:rsidRPr="001C6F38">
        <w:rPr>
          <w:rFonts w:ascii="Times New Roman" w:hAnsi="Times New Roman" w:cs="Times New Roman"/>
          <w:b/>
          <w:sz w:val="28"/>
          <w:szCs w:val="28"/>
        </w:rPr>
        <w:tab/>
      </w:r>
      <w:r w:rsidRPr="001C6F38">
        <w:rPr>
          <w:rFonts w:ascii="Times New Roman" w:hAnsi="Times New Roman" w:cs="Times New Roman"/>
          <w:b/>
          <w:sz w:val="28"/>
          <w:szCs w:val="28"/>
        </w:rPr>
        <w:tab/>
      </w:r>
      <w:r w:rsidRPr="001C6F38">
        <w:rPr>
          <w:rFonts w:ascii="Times New Roman" w:hAnsi="Times New Roman" w:cs="Times New Roman"/>
          <w:b/>
          <w:sz w:val="28"/>
          <w:szCs w:val="28"/>
        </w:rPr>
        <w:tab/>
      </w:r>
    </w:p>
    <w:p w14:paraId="7C4F23D2" w14:textId="1EE5AF96" w:rsidR="009F1356" w:rsidRPr="001C6F38" w:rsidRDefault="001C6F38" w:rsidP="001C6F38">
      <w:pPr>
        <w:spacing w:line="360" w:lineRule="auto"/>
        <w:jc w:val="both"/>
        <w:rPr>
          <w:rFonts w:ascii="Times New Roman" w:hAnsi="Times New Roman" w:cs="Times New Roman"/>
          <w:b/>
          <w:color w:val="4472C4" w:themeColor="accent1"/>
          <w:sz w:val="28"/>
          <w:szCs w:val="28"/>
        </w:rPr>
      </w:pPr>
      <w:r w:rsidRPr="001C6F38">
        <w:rPr>
          <w:rFonts w:ascii="Times New Roman" w:hAnsi="Times New Roman" w:cs="Times New Roman"/>
          <w:b/>
          <w:color w:val="4472C4" w:themeColor="accent1"/>
          <w:sz w:val="28"/>
          <w:szCs w:val="28"/>
        </w:rPr>
        <w:t>INTRODUCTION</w:t>
      </w:r>
    </w:p>
    <w:p w14:paraId="6C8DD858" w14:textId="005AF526" w:rsidR="001C6F38" w:rsidRPr="001C6F38" w:rsidRDefault="001C6F38" w:rsidP="001C6F38">
      <w:pPr>
        <w:spacing w:line="360" w:lineRule="auto"/>
        <w:jc w:val="both"/>
        <w:rPr>
          <w:rFonts w:ascii="Times New Roman" w:hAnsi="Times New Roman" w:cs="Times New Roman"/>
          <w:b/>
          <w:sz w:val="28"/>
          <w:szCs w:val="28"/>
          <w:u w:val="single"/>
        </w:rPr>
      </w:pPr>
      <w:r w:rsidRPr="001C6F38">
        <w:rPr>
          <w:rFonts w:ascii="Times New Roman" w:hAnsi="Times New Roman" w:cs="Times New Roman"/>
          <w:sz w:val="28"/>
          <w:szCs w:val="28"/>
        </w:rPr>
        <w:t>Judicial Review of Administrative action is part of enforcing the constitutional discipline over the administrative agencies while exercising their powers. It ha</w:t>
      </w:r>
      <w:r>
        <w:rPr>
          <w:rFonts w:ascii="Times New Roman" w:hAnsi="Times New Roman" w:cs="Times New Roman"/>
          <w:sz w:val="28"/>
          <w:szCs w:val="28"/>
        </w:rPr>
        <w:t>d its</w:t>
      </w:r>
      <w:r w:rsidRPr="001C6F38">
        <w:rPr>
          <w:rFonts w:ascii="Times New Roman" w:hAnsi="Times New Roman" w:cs="Times New Roman"/>
          <w:sz w:val="28"/>
          <w:szCs w:val="28"/>
        </w:rPr>
        <w:t xml:space="preserve"> origin in England which was adopted in common law countries. India too inherited the idea of judicial review from England. India had laid its structure on English prerogative with pattern which was issued by the court of King's Bench with a view to exercise general superintendence over the due observance of law by officials/ authorities while performing judicial or non-judicial functions. </w:t>
      </w:r>
      <w:r w:rsidRPr="00B072C0">
        <w:rPr>
          <w:rFonts w:ascii="Times New Roman" w:hAnsi="Times New Roman" w:cs="Times New Roman"/>
          <w:sz w:val="28"/>
          <w:szCs w:val="28"/>
          <w:highlight w:val="yellow"/>
        </w:rPr>
        <w:t xml:space="preserve">Judicial Review is a great weapon through which </w:t>
      </w:r>
      <w:r w:rsidRPr="00B072C0">
        <w:rPr>
          <w:rFonts w:ascii="Times New Roman" w:hAnsi="Times New Roman" w:cs="Times New Roman"/>
          <w:sz w:val="28"/>
          <w:szCs w:val="28"/>
          <w:highlight w:val="yellow"/>
        </w:rPr>
        <w:lastRenderedPageBreak/>
        <w:t>arbitrary, unjust, harassing and unconstitutional laws are checked.</w:t>
      </w:r>
      <w:r w:rsidRPr="001C6F38">
        <w:rPr>
          <w:rFonts w:ascii="Times New Roman" w:hAnsi="Times New Roman" w:cs="Times New Roman"/>
          <w:sz w:val="28"/>
          <w:szCs w:val="28"/>
        </w:rPr>
        <w:t xml:space="preserve"> Judicial review is the cornerstone of constitutionalism, which implies limited Government.</w:t>
      </w:r>
    </w:p>
    <w:p w14:paraId="351148FA" w14:textId="68542D97" w:rsidR="009F1356" w:rsidRPr="00693BA4" w:rsidRDefault="001C6F38"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T</w:t>
      </w:r>
      <w:r w:rsidR="009F1356" w:rsidRPr="001C6F38">
        <w:rPr>
          <w:rFonts w:ascii="Times New Roman" w:hAnsi="Times New Roman" w:cs="Times New Roman"/>
          <w:sz w:val="28"/>
          <w:szCs w:val="28"/>
        </w:rPr>
        <w:t xml:space="preserve">he doctrine reached its culmination under the Indian Constitution when the Supreme Court of India bestowed on judicial review the widest ambit and amplitude in the </w:t>
      </w:r>
      <w:r>
        <w:rPr>
          <w:rFonts w:ascii="Times New Roman" w:hAnsi="Times New Roman" w:cs="Times New Roman"/>
          <w:sz w:val="28"/>
          <w:szCs w:val="28"/>
        </w:rPr>
        <w:t xml:space="preserve">case of </w:t>
      </w:r>
      <w:hyperlink r:id="rId9" w:tgtFrame="_blank" w:history="1">
        <w:proofErr w:type="spellStart"/>
        <w:r w:rsidR="009F1356" w:rsidRPr="001C6F38">
          <w:rPr>
            <w:rFonts w:ascii="Times New Roman" w:hAnsi="Times New Roman" w:cs="Times New Roman"/>
            <w:b/>
            <w:bCs/>
            <w:i/>
            <w:iCs/>
            <w:sz w:val="28"/>
            <w:szCs w:val="28"/>
          </w:rPr>
          <w:t>Keshvanand</w:t>
        </w:r>
        <w:proofErr w:type="spellEnd"/>
        <w:r w:rsidR="009F1356" w:rsidRPr="001C6F38">
          <w:rPr>
            <w:rFonts w:ascii="Times New Roman" w:hAnsi="Times New Roman" w:cs="Times New Roman"/>
            <w:b/>
            <w:bCs/>
            <w:i/>
            <w:iCs/>
            <w:sz w:val="28"/>
            <w:szCs w:val="28"/>
          </w:rPr>
          <w:t xml:space="preserve"> Bharti v. State of Kerala</w:t>
        </w:r>
      </w:hyperlink>
      <w:r w:rsidR="009F1356" w:rsidRPr="001C6F38">
        <w:rPr>
          <w:rFonts w:ascii="Times New Roman" w:hAnsi="Times New Roman" w:cs="Times New Roman"/>
          <w:b/>
          <w:bCs/>
          <w:i/>
          <w:iCs/>
          <w:sz w:val="28"/>
          <w:szCs w:val="28"/>
        </w:rPr>
        <w:t>.</w:t>
      </w:r>
      <w:r w:rsidR="00693BA4">
        <w:rPr>
          <w:rStyle w:val="FootnoteReference"/>
          <w:rFonts w:ascii="Times New Roman" w:hAnsi="Times New Roman" w:cs="Times New Roman"/>
          <w:b/>
          <w:bCs/>
          <w:i/>
          <w:iCs/>
          <w:sz w:val="28"/>
          <w:szCs w:val="28"/>
        </w:rPr>
        <w:footnoteReference w:id="2"/>
      </w:r>
    </w:p>
    <w:p w14:paraId="4F5B3B57" w14:textId="4CF7F792" w:rsidR="009F1356" w:rsidRPr="001C6F38" w:rsidRDefault="009F1356" w:rsidP="001C6F38">
      <w:pPr>
        <w:spacing w:line="360" w:lineRule="auto"/>
        <w:rPr>
          <w:rFonts w:ascii="Times New Roman" w:hAnsi="Times New Roman" w:cs="Times New Roman"/>
          <w:b/>
          <w:bCs/>
          <w:i/>
          <w:iCs/>
          <w:sz w:val="28"/>
          <w:szCs w:val="28"/>
        </w:rPr>
      </w:pPr>
      <w:r w:rsidRPr="001C6F38">
        <w:rPr>
          <w:rFonts w:ascii="Times New Roman" w:hAnsi="Times New Roman" w:cs="Times New Roman"/>
          <w:b/>
          <w:bCs/>
          <w:color w:val="4472C4" w:themeColor="accent1"/>
          <w:sz w:val="28"/>
          <w:szCs w:val="28"/>
        </w:rPr>
        <w:t>Meaning of Judicial Review</w:t>
      </w:r>
      <w:r w:rsidRPr="001C6F38">
        <w:rPr>
          <w:rFonts w:ascii="Times New Roman" w:hAnsi="Times New Roman" w:cs="Times New Roman"/>
          <w:sz w:val="28"/>
          <w:szCs w:val="28"/>
        </w:rPr>
        <w:br/>
        <w:t xml:space="preserve">Judicial review’ may be defined as a </w:t>
      </w:r>
      <w:r w:rsidRPr="001C6F38">
        <w:rPr>
          <w:rFonts w:ascii="Times New Roman" w:hAnsi="Times New Roman" w:cs="Times New Roman"/>
          <w:b/>
          <w:bCs/>
          <w:i/>
          <w:iCs/>
          <w:sz w:val="28"/>
          <w:szCs w:val="28"/>
        </w:rPr>
        <w:t>“Court’s power to review the actions of others branches of government, especially the Court’s power to invalidate legislative and executive actions as being unconstitutional”.</w:t>
      </w:r>
    </w:p>
    <w:p w14:paraId="4FB8E3A1" w14:textId="4B39381C" w:rsidR="001C6F38" w:rsidRPr="001C6F38" w:rsidRDefault="009F1356" w:rsidP="001C6F38">
      <w:pPr>
        <w:spacing w:line="360" w:lineRule="auto"/>
        <w:jc w:val="both"/>
        <w:rPr>
          <w:rFonts w:ascii="Times New Roman" w:hAnsi="Times New Roman" w:cs="Times New Roman"/>
          <w:color w:val="4472C4" w:themeColor="accent1"/>
          <w:sz w:val="28"/>
          <w:szCs w:val="28"/>
        </w:rPr>
      </w:pPr>
      <w:r w:rsidRPr="001C6F38">
        <w:rPr>
          <w:rStyle w:val="Strong"/>
          <w:rFonts w:ascii="Times New Roman" w:hAnsi="Times New Roman" w:cs="Times New Roman"/>
          <w:color w:val="4472C4" w:themeColor="accent1"/>
          <w:sz w:val="28"/>
          <w:szCs w:val="28"/>
        </w:rPr>
        <w:t>What are Administrative Actions?</w:t>
      </w:r>
    </w:p>
    <w:p w14:paraId="38C5730C" w14:textId="59E66B25" w:rsidR="00693BA4" w:rsidRDefault="001C6F38"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Administrative action is the residuary action which is neither legislative nor judicial. It is concerned with the treatment of a particular situation and is devoid of generality. It has no procedural obligations of collecting evidence and weighing argument. It is based on subjective satisfaction where decision is based on policy and expediency. It does not decide a right though it may affect a right. However, it does not mean that the principles of natural justice can be ignored completely when the authority is exercising administrative powers. Unless the statute provides otherwise, a minimum of the principles of natural justice </w:t>
      </w:r>
      <w:r w:rsidR="00693BA4" w:rsidRPr="001C6F38">
        <w:rPr>
          <w:rFonts w:ascii="Times New Roman" w:hAnsi="Times New Roman" w:cs="Times New Roman"/>
          <w:sz w:val="28"/>
          <w:szCs w:val="28"/>
        </w:rPr>
        <w:t>must be</w:t>
      </w:r>
      <w:r w:rsidRPr="001C6F38">
        <w:rPr>
          <w:rFonts w:ascii="Times New Roman" w:hAnsi="Times New Roman" w:cs="Times New Roman"/>
          <w:sz w:val="28"/>
          <w:szCs w:val="28"/>
        </w:rPr>
        <w:t xml:space="preserve"> observed depending on the fact situation of case.</w:t>
      </w:r>
      <w:r w:rsidRPr="001C6F38">
        <w:rPr>
          <w:rFonts w:ascii="Times New Roman" w:hAnsi="Times New Roman" w:cs="Times New Roman"/>
          <w:sz w:val="28"/>
          <w:szCs w:val="28"/>
        </w:rPr>
        <w:br/>
      </w:r>
    </w:p>
    <w:p w14:paraId="10DAC6F2" w14:textId="340ED9C7" w:rsidR="00693BA4" w:rsidRDefault="001C6F38"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In </w:t>
      </w:r>
      <w:r w:rsidR="00693BA4">
        <w:rPr>
          <w:rFonts w:ascii="Times New Roman" w:hAnsi="Times New Roman" w:cs="Times New Roman"/>
          <w:sz w:val="28"/>
          <w:szCs w:val="28"/>
        </w:rPr>
        <w:t xml:space="preserve">the </w:t>
      </w:r>
      <w:r w:rsidRPr="001C6F38">
        <w:rPr>
          <w:rFonts w:ascii="Times New Roman" w:hAnsi="Times New Roman" w:cs="Times New Roman"/>
          <w:sz w:val="28"/>
          <w:szCs w:val="28"/>
        </w:rPr>
        <w:t xml:space="preserve">case </w:t>
      </w:r>
      <w:r w:rsidRPr="001C6F38">
        <w:rPr>
          <w:rFonts w:ascii="Times New Roman" w:hAnsi="Times New Roman" w:cs="Times New Roman"/>
          <w:b/>
          <w:bCs/>
          <w:i/>
          <w:iCs/>
          <w:sz w:val="28"/>
          <w:szCs w:val="28"/>
        </w:rPr>
        <w:t xml:space="preserve">A.K. </w:t>
      </w:r>
      <w:proofErr w:type="spellStart"/>
      <w:r w:rsidRPr="001C6F38">
        <w:rPr>
          <w:rFonts w:ascii="Times New Roman" w:hAnsi="Times New Roman" w:cs="Times New Roman"/>
          <w:b/>
          <w:bCs/>
          <w:i/>
          <w:iCs/>
          <w:sz w:val="28"/>
          <w:szCs w:val="28"/>
        </w:rPr>
        <w:t>Kraipak</w:t>
      </w:r>
      <w:proofErr w:type="spellEnd"/>
      <w:r w:rsidRPr="001C6F38">
        <w:rPr>
          <w:rFonts w:ascii="Times New Roman" w:hAnsi="Times New Roman" w:cs="Times New Roman"/>
          <w:b/>
          <w:bCs/>
          <w:i/>
          <w:iCs/>
          <w:sz w:val="28"/>
          <w:szCs w:val="28"/>
        </w:rPr>
        <w:t xml:space="preserve"> v. Union of India</w:t>
      </w:r>
      <w:r w:rsidRPr="001C6F38">
        <w:rPr>
          <w:rFonts w:ascii="Times New Roman" w:hAnsi="Times New Roman" w:cs="Times New Roman"/>
          <w:sz w:val="28"/>
          <w:szCs w:val="28"/>
        </w:rPr>
        <w:t>,</w:t>
      </w:r>
      <w:r>
        <w:rPr>
          <w:rStyle w:val="FootnoteReference"/>
          <w:rFonts w:ascii="Times New Roman" w:hAnsi="Times New Roman" w:cs="Times New Roman"/>
          <w:sz w:val="28"/>
          <w:szCs w:val="28"/>
        </w:rPr>
        <w:footnoteReference w:id="3"/>
      </w:r>
      <w:r w:rsidRPr="001C6F38">
        <w:rPr>
          <w:rFonts w:ascii="Times New Roman" w:hAnsi="Times New Roman" w:cs="Times New Roman"/>
          <w:sz w:val="28"/>
          <w:szCs w:val="28"/>
        </w:rPr>
        <w:t>the Court was of the view that in order to determine whether the action of the administrative authority is quasi-judicial or administrative, one has to see the nature of power conferred, to whom power is given, the framework within which power is conferred and the consequences.</w:t>
      </w:r>
      <w:r w:rsidRPr="001C6F38">
        <w:rPr>
          <w:rFonts w:ascii="Times New Roman" w:hAnsi="Times New Roman" w:cs="Times New Roman"/>
          <w:sz w:val="28"/>
          <w:szCs w:val="28"/>
        </w:rPr>
        <w:br/>
      </w:r>
    </w:p>
    <w:p w14:paraId="28E5FD91" w14:textId="087FA288" w:rsidR="001C6F38" w:rsidRPr="001C6F38" w:rsidRDefault="001C6F38"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Administrative action may be statutory</w:t>
      </w:r>
      <w:r w:rsidR="00693BA4">
        <w:rPr>
          <w:rFonts w:ascii="Times New Roman" w:hAnsi="Times New Roman" w:cs="Times New Roman"/>
          <w:sz w:val="28"/>
          <w:szCs w:val="28"/>
        </w:rPr>
        <w:t xml:space="preserve"> (</w:t>
      </w:r>
      <w:r w:rsidRPr="001C6F38">
        <w:rPr>
          <w:rFonts w:ascii="Times New Roman" w:hAnsi="Times New Roman" w:cs="Times New Roman"/>
          <w:sz w:val="28"/>
          <w:szCs w:val="28"/>
        </w:rPr>
        <w:t>having the force of law</w:t>
      </w:r>
      <w:r w:rsidR="00693BA4">
        <w:rPr>
          <w:rFonts w:ascii="Times New Roman" w:hAnsi="Times New Roman" w:cs="Times New Roman"/>
          <w:sz w:val="28"/>
          <w:szCs w:val="28"/>
        </w:rPr>
        <w:t>)</w:t>
      </w:r>
      <w:r w:rsidRPr="001C6F38">
        <w:rPr>
          <w:rFonts w:ascii="Times New Roman" w:hAnsi="Times New Roman" w:cs="Times New Roman"/>
          <w:sz w:val="28"/>
          <w:szCs w:val="28"/>
        </w:rPr>
        <w:t xml:space="preserve">, or non-statutory, </w:t>
      </w:r>
      <w:r w:rsidR="00693BA4">
        <w:rPr>
          <w:rFonts w:ascii="Times New Roman" w:hAnsi="Times New Roman" w:cs="Times New Roman"/>
          <w:sz w:val="28"/>
          <w:szCs w:val="28"/>
        </w:rPr>
        <w:t>(</w:t>
      </w:r>
      <w:r w:rsidRPr="001C6F38">
        <w:rPr>
          <w:rFonts w:ascii="Times New Roman" w:hAnsi="Times New Roman" w:cs="Times New Roman"/>
          <w:sz w:val="28"/>
          <w:szCs w:val="28"/>
        </w:rPr>
        <w:t>devoid of such legal force</w:t>
      </w:r>
      <w:r w:rsidR="00693BA4">
        <w:rPr>
          <w:rFonts w:ascii="Times New Roman" w:hAnsi="Times New Roman" w:cs="Times New Roman"/>
          <w:sz w:val="28"/>
          <w:szCs w:val="28"/>
        </w:rPr>
        <w:t>)</w:t>
      </w:r>
      <w:r w:rsidRPr="001C6F38">
        <w:rPr>
          <w:rFonts w:ascii="Times New Roman" w:hAnsi="Times New Roman" w:cs="Times New Roman"/>
          <w:sz w:val="28"/>
          <w:szCs w:val="28"/>
        </w:rPr>
        <w:t xml:space="preserve">. The bulk of the administrative action is statutory because a </w:t>
      </w:r>
      <w:r w:rsidRPr="001C6F38">
        <w:rPr>
          <w:rFonts w:ascii="Times New Roman" w:hAnsi="Times New Roman" w:cs="Times New Roman"/>
          <w:sz w:val="28"/>
          <w:szCs w:val="28"/>
        </w:rPr>
        <w:lastRenderedPageBreak/>
        <w:t xml:space="preserve">statute or the Constitution gives it a legal force </w:t>
      </w:r>
      <w:r w:rsidR="00693BA4" w:rsidRPr="001C6F38">
        <w:rPr>
          <w:rFonts w:ascii="Times New Roman" w:hAnsi="Times New Roman" w:cs="Times New Roman"/>
          <w:sz w:val="28"/>
          <w:szCs w:val="28"/>
        </w:rPr>
        <w:t>but, in some cases,</w:t>
      </w:r>
      <w:r w:rsidRPr="001C6F38">
        <w:rPr>
          <w:rFonts w:ascii="Times New Roman" w:hAnsi="Times New Roman" w:cs="Times New Roman"/>
          <w:sz w:val="28"/>
          <w:szCs w:val="28"/>
        </w:rPr>
        <w:t xml:space="preserve"> it may be non-statutory, such as issuing directions to subordinates not having the force of law, but its violation may be visited with disciplinary action.</w:t>
      </w:r>
      <w:r w:rsidR="00693BA4">
        <w:rPr>
          <w:rFonts w:ascii="Times New Roman" w:hAnsi="Times New Roman" w:cs="Times New Roman"/>
          <w:sz w:val="28"/>
          <w:szCs w:val="28"/>
        </w:rPr>
        <w:t xml:space="preserve"> T</w:t>
      </w:r>
      <w:r w:rsidRPr="001C6F38">
        <w:rPr>
          <w:rFonts w:ascii="Times New Roman" w:hAnsi="Times New Roman" w:cs="Times New Roman"/>
          <w:sz w:val="28"/>
          <w:szCs w:val="28"/>
        </w:rPr>
        <w:t xml:space="preserve">he administrative authority must </w:t>
      </w:r>
      <w:r w:rsidRPr="00693BA4">
        <w:rPr>
          <w:rFonts w:ascii="Times New Roman" w:hAnsi="Times New Roman" w:cs="Times New Roman"/>
          <w:i/>
          <w:iCs/>
          <w:sz w:val="28"/>
          <w:szCs w:val="28"/>
        </w:rPr>
        <w:t>act fairly, impartially and reasonable.</w:t>
      </w:r>
      <w:r w:rsidRPr="001C6F38">
        <w:rPr>
          <w:rFonts w:ascii="Times New Roman" w:hAnsi="Times New Roman" w:cs="Times New Roman"/>
          <w:sz w:val="28"/>
          <w:szCs w:val="28"/>
        </w:rPr>
        <w:t xml:space="preserve"> </w:t>
      </w:r>
      <w:r w:rsidRPr="00693BA4">
        <w:rPr>
          <w:rFonts w:ascii="Times New Roman" w:hAnsi="Times New Roman" w:cs="Times New Roman"/>
          <w:sz w:val="28"/>
          <w:szCs w:val="28"/>
          <w:highlight w:val="yellow"/>
        </w:rPr>
        <w:t xml:space="preserve">In the process of judicial review of legislative and executive action, the courts pick out the golden thread of reason and meaning in a law; they shape </w:t>
      </w:r>
      <w:r w:rsidR="00693BA4" w:rsidRPr="00693BA4">
        <w:rPr>
          <w:rFonts w:ascii="Times New Roman" w:hAnsi="Times New Roman" w:cs="Times New Roman"/>
          <w:sz w:val="28"/>
          <w:szCs w:val="28"/>
          <w:highlight w:val="yellow"/>
        </w:rPr>
        <w:t>the</w:t>
      </w:r>
      <w:r w:rsidRPr="00693BA4">
        <w:rPr>
          <w:rFonts w:ascii="Times New Roman" w:hAnsi="Times New Roman" w:cs="Times New Roman"/>
          <w:sz w:val="28"/>
          <w:szCs w:val="28"/>
          <w:highlight w:val="yellow"/>
        </w:rPr>
        <w:t xml:space="preserve"> law, reveal its fitness and nuances, smooth the angularities, strike down the bad law or illegal action, and most essential to all, exert the strong moral forces of restraint in times when expediency is all.</w:t>
      </w:r>
    </w:p>
    <w:p w14:paraId="5B8E904B" w14:textId="77777777" w:rsidR="00064501" w:rsidRPr="001C6F38" w:rsidRDefault="00064501" w:rsidP="001C6F38">
      <w:pPr>
        <w:spacing w:line="360" w:lineRule="auto"/>
        <w:jc w:val="both"/>
        <w:rPr>
          <w:rFonts w:ascii="Times New Roman" w:hAnsi="Times New Roman" w:cs="Times New Roman"/>
          <w:sz w:val="28"/>
          <w:szCs w:val="28"/>
        </w:rPr>
      </w:pPr>
      <w:r w:rsidRPr="00693BA4">
        <w:rPr>
          <w:rFonts w:ascii="Times New Roman" w:hAnsi="Times New Roman" w:cs="Times New Roman"/>
          <w:b/>
          <w:bCs/>
          <w:i/>
          <w:iCs/>
          <w:sz w:val="28"/>
          <w:szCs w:val="28"/>
        </w:rPr>
        <w:t>Judicial review means that the judiciary can declare a law or legislation as unconstitutional if it is beyond the competence of legislature according to the distribution of power (under Article 246), or it is in contravention of fundamental rights or any of the mandatory provisions of the constitution ( e.g., Article 301, 304).</w:t>
      </w:r>
      <w:r w:rsidRPr="001C6F38">
        <w:rPr>
          <w:rFonts w:ascii="Times New Roman" w:hAnsi="Times New Roman" w:cs="Times New Roman"/>
          <w:sz w:val="28"/>
          <w:szCs w:val="28"/>
        </w:rPr>
        <w:t xml:space="preserve"> Even in the absence of such express constitutional provisions the court can invalidate a law which contravenes any right or is ultra vires, for such power of judicial review form the very nature of the Constitutional; law. Thus, under Article 132, the substantial question of law as to the interpretation of Constitution is referred to the Supreme Court. The ‘reasonable restriction’ in case of fundamental rights is subjected to court’s supervision. Judicial review is thus “the interposition of judicial restraint on the legislative as well as executive organs of the government”. </w:t>
      </w:r>
    </w:p>
    <w:p w14:paraId="07428609" w14:textId="16EDDE68" w:rsidR="00064501" w:rsidRPr="001C6F38" w:rsidRDefault="00064501"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Nevertheless, in several cases it has been held that the Supreme Court can act as the custodian, defender of rights of people, and democratic system of government only through the judicial review. In </w:t>
      </w:r>
      <w:proofErr w:type="spellStart"/>
      <w:r w:rsidRPr="001C6F38">
        <w:rPr>
          <w:rFonts w:ascii="Times New Roman" w:hAnsi="Times New Roman" w:cs="Times New Roman"/>
          <w:b/>
          <w:i/>
          <w:sz w:val="28"/>
          <w:szCs w:val="28"/>
        </w:rPr>
        <w:t>keshavananda</w:t>
      </w:r>
      <w:proofErr w:type="spellEnd"/>
      <w:r w:rsidRPr="001C6F38">
        <w:rPr>
          <w:rFonts w:ascii="Times New Roman" w:hAnsi="Times New Roman" w:cs="Times New Roman"/>
          <w:b/>
          <w:i/>
          <w:sz w:val="28"/>
          <w:szCs w:val="28"/>
        </w:rPr>
        <w:t xml:space="preserve"> Bharati’s</w:t>
      </w:r>
      <w:r w:rsidR="00693BA4">
        <w:rPr>
          <w:rStyle w:val="FootnoteReference"/>
          <w:rFonts w:ascii="Times New Roman" w:hAnsi="Times New Roman" w:cs="Times New Roman"/>
          <w:b/>
          <w:i/>
          <w:sz w:val="28"/>
          <w:szCs w:val="28"/>
        </w:rPr>
        <w:footnoteReference w:id="4"/>
      </w:r>
      <w:r w:rsidRPr="001C6F38">
        <w:rPr>
          <w:rFonts w:ascii="Times New Roman" w:hAnsi="Times New Roman" w:cs="Times New Roman"/>
          <w:i/>
          <w:sz w:val="28"/>
          <w:szCs w:val="28"/>
        </w:rPr>
        <w:t xml:space="preserve"> </w:t>
      </w:r>
      <w:r w:rsidRPr="001C6F38">
        <w:rPr>
          <w:rFonts w:ascii="Times New Roman" w:hAnsi="Times New Roman" w:cs="Times New Roman"/>
          <w:sz w:val="28"/>
          <w:szCs w:val="28"/>
        </w:rPr>
        <w:t xml:space="preserve">case it was held that the judicial review is the “basic feature” of the Constitution and cannot be amended. </w:t>
      </w:r>
    </w:p>
    <w:p w14:paraId="1D0B0569" w14:textId="2D6EFEC4" w:rsidR="00693BA4" w:rsidRDefault="00064501"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In </w:t>
      </w:r>
      <w:r w:rsidRPr="001C6F38">
        <w:rPr>
          <w:rFonts w:ascii="Times New Roman" w:hAnsi="Times New Roman" w:cs="Times New Roman"/>
          <w:b/>
          <w:i/>
          <w:sz w:val="28"/>
          <w:szCs w:val="28"/>
        </w:rPr>
        <w:t xml:space="preserve">A.K. Gopalan </w:t>
      </w:r>
      <w:r w:rsidRPr="001C6F38">
        <w:rPr>
          <w:rFonts w:ascii="Times New Roman" w:hAnsi="Times New Roman" w:cs="Times New Roman"/>
          <w:b/>
          <w:sz w:val="28"/>
          <w:szCs w:val="28"/>
        </w:rPr>
        <w:t xml:space="preserve">v. </w:t>
      </w:r>
      <w:r w:rsidRPr="001C6F38">
        <w:rPr>
          <w:rFonts w:ascii="Times New Roman" w:hAnsi="Times New Roman" w:cs="Times New Roman"/>
          <w:b/>
          <w:i/>
          <w:sz w:val="28"/>
          <w:szCs w:val="28"/>
        </w:rPr>
        <w:t>State of Madras</w:t>
      </w:r>
      <w:r w:rsidR="00693BA4">
        <w:rPr>
          <w:rFonts w:ascii="Times New Roman" w:hAnsi="Times New Roman" w:cs="Times New Roman"/>
          <w:i/>
          <w:sz w:val="28"/>
          <w:szCs w:val="28"/>
        </w:rPr>
        <w:t>,</w:t>
      </w:r>
      <w:r w:rsidR="00693BA4">
        <w:rPr>
          <w:rFonts w:ascii="Times New Roman" w:hAnsi="Times New Roman" w:cs="Times New Roman"/>
          <w:iCs/>
          <w:sz w:val="28"/>
          <w:szCs w:val="28"/>
        </w:rPr>
        <w:t xml:space="preserve"> </w:t>
      </w:r>
      <w:r w:rsidR="00693BA4">
        <w:rPr>
          <w:rStyle w:val="FootnoteReference"/>
          <w:rFonts w:ascii="Times New Roman" w:hAnsi="Times New Roman" w:cs="Times New Roman"/>
          <w:iCs/>
          <w:sz w:val="28"/>
          <w:szCs w:val="28"/>
        </w:rPr>
        <w:footnoteReference w:id="5"/>
      </w:r>
      <w:r w:rsidRPr="001C6F38">
        <w:rPr>
          <w:rFonts w:ascii="Times New Roman" w:hAnsi="Times New Roman" w:cs="Times New Roman"/>
          <w:sz w:val="28"/>
          <w:szCs w:val="28"/>
        </w:rPr>
        <w:t xml:space="preserve">the power of judicial review was firmly established and the limitations for its exercise were clearly enunciated. </w:t>
      </w:r>
    </w:p>
    <w:p w14:paraId="6C6C57BE" w14:textId="58ED1015" w:rsidR="00D5758A" w:rsidRPr="00D5758A" w:rsidRDefault="00D5758A" w:rsidP="00D5758A">
      <w:pPr>
        <w:spacing w:after="0" w:line="360" w:lineRule="auto"/>
        <w:jc w:val="both"/>
        <w:textAlignment w:val="baseline"/>
        <w:outlineLvl w:val="3"/>
        <w:rPr>
          <w:rFonts w:ascii="Times New Roman" w:eastAsia="Times New Roman" w:hAnsi="Times New Roman" w:cs="Times New Roman"/>
          <w:color w:val="4472C4" w:themeColor="accent1"/>
          <w:sz w:val="28"/>
          <w:szCs w:val="28"/>
          <w:lang w:val="en-IN" w:eastAsia="en-IN"/>
        </w:rPr>
      </w:pPr>
      <w:r w:rsidRPr="00D5758A">
        <w:rPr>
          <w:rFonts w:ascii="Times New Roman" w:eastAsia="Times New Roman" w:hAnsi="Times New Roman" w:cs="Times New Roman"/>
          <w:b/>
          <w:bCs/>
          <w:color w:val="4472C4" w:themeColor="accent1"/>
          <w:sz w:val="28"/>
          <w:szCs w:val="28"/>
          <w:bdr w:val="none" w:sz="0" w:space="0" w:color="auto" w:frame="1"/>
          <w:lang w:val="en-IN" w:eastAsia="en-IN"/>
        </w:rPr>
        <w:t>Grounds for Judicial Review of Administrative Actions: -</w:t>
      </w:r>
    </w:p>
    <w:p w14:paraId="136EF6B5" w14:textId="77777777" w:rsidR="00D5758A" w:rsidRPr="00D5758A" w:rsidRDefault="00D5758A" w:rsidP="00D5758A">
      <w:pPr>
        <w:numPr>
          <w:ilvl w:val="0"/>
          <w:numId w:val="1"/>
        </w:numPr>
        <w:spacing w:after="0" w:line="360" w:lineRule="auto"/>
        <w:ind w:left="540"/>
        <w:jc w:val="both"/>
        <w:textAlignment w:val="baseline"/>
        <w:rPr>
          <w:rFonts w:ascii="Times New Roman" w:eastAsia="Times New Roman" w:hAnsi="Times New Roman" w:cs="Times New Roman"/>
          <w:color w:val="444444"/>
          <w:sz w:val="28"/>
          <w:szCs w:val="28"/>
          <w:lang w:val="en-IN" w:eastAsia="en-IN"/>
        </w:rPr>
      </w:pPr>
      <w:r w:rsidRPr="00D5758A">
        <w:rPr>
          <w:rFonts w:ascii="Times New Roman" w:eastAsia="Times New Roman" w:hAnsi="Times New Roman" w:cs="Times New Roman"/>
          <w:color w:val="444444"/>
          <w:sz w:val="28"/>
          <w:szCs w:val="28"/>
          <w:lang w:val="en-IN" w:eastAsia="en-IN"/>
        </w:rPr>
        <w:lastRenderedPageBreak/>
        <w:t>Illegality</w:t>
      </w:r>
    </w:p>
    <w:p w14:paraId="22FB39C6" w14:textId="77777777" w:rsidR="00D5758A" w:rsidRPr="00D5758A" w:rsidRDefault="00D5758A" w:rsidP="00D5758A">
      <w:pPr>
        <w:numPr>
          <w:ilvl w:val="0"/>
          <w:numId w:val="1"/>
        </w:numPr>
        <w:spacing w:after="0" w:line="360" w:lineRule="auto"/>
        <w:ind w:left="540"/>
        <w:jc w:val="both"/>
        <w:textAlignment w:val="baseline"/>
        <w:rPr>
          <w:rFonts w:ascii="Times New Roman" w:eastAsia="Times New Roman" w:hAnsi="Times New Roman" w:cs="Times New Roman"/>
          <w:color w:val="444444"/>
          <w:sz w:val="28"/>
          <w:szCs w:val="28"/>
          <w:lang w:val="en-IN" w:eastAsia="en-IN"/>
        </w:rPr>
      </w:pPr>
      <w:r w:rsidRPr="00D5758A">
        <w:rPr>
          <w:rFonts w:ascii="Times New Roman" w:eastAsia="Times New Roman" w:hAnsi="Times New Roman" w:cs="Times New Roman"/>
          <w:color w:val="444444"/>
          <w:sz w:val="28"/>
          <w:szCs w:val="28"/>
          <w:lang w:val="en-IN" w:eastAsia="en-IN"/>
        </w:rPr>
        <w:t>Irrationality</w:t>
      </w:r>
    </w:p>
    <w:p w14:paraId="1AE4275D" w14:textId="77777777" w:rsidR="00D5758A" w:rsidRPr="00D5758A" w:rsidRDefault="00D5758A" w:rsidP="00D5758A">
      <w:pPr>
        <w:numPr>
          <w:ilvl w:val="0"/>
          <w:numId w:val="1"/>
        </w:numPr>
        <w:spacing w:after="0" w:line="360" w:lineRule="auto"/>
        <w:ind w:left="540"/>
        <w:jc w:val="both"/>
        <w:textAlignment w:val="baseline"/>
        <w:rPr>
          <w:rFonts w:ascii="Times New Roman" w:eastAsia="Times New Roman" w:hAnsi="Times New Roman" w:cs="Times New Roman"/>
          <w:color w:val="444444"/>
          <w:sz w:val="28"/>
          <w:szCs w:val="28"/>
          <w:lang w:val="en-IN" w:eastAsia="en-IN"/>
        </w:rPr>
      </w:pPr>
      <w:r w:rsidRPr="00D5758A">
        <w:rPr>
          <w:rFonts w:ascii="Times New Roman" w:eastAsia="Times New Roman" w:hAnsi="Times New Roman" w:cs="Times New Roman"/>
          <w:color w:val="444444"/>
          <w:sz w:val="28"/>
          <w:szCs w:val="28"/>
          <w:lang w:val="en-IN" w:eastAsia="en-IN"/>
        </w:rPr>
        <w:t>Procedural impropriety</w:t>
      </w:r>
    </w:p>
    <w:p w14:paraId="1630803E" w14:textId="77777777" w:rsidR="00D5758A" w:rsidRDefault="00D5758A" w:rsidP="001C6F38">
      <w:pPr>
        <w:spacing w:line="360" w:lineRule="auto"/>
        <w:jc w:val="both"/>
        <w:rPr>
          <w:rFonts w:ascii="Times New Roman" w:hAnsi="Times New Roman" w:cs="Times New Roman"/>
          <w:sz w:val="28"/>
          <w:szCs w:val="28"/>
        </w:rPr>
      </w:pPr>
    </w:p>
    <w:p w14:paraId="7E88EA5B" w14:textId="7174087A" w:rsidR="00D5758A" w:rsidRPr="001C6F38" w:rsidRDefault="00D5758A" w:rsidP="00D5758A">
      <w:pPr>
        <w:spacing w:line="360" w:lineRule="auto"/>
        <w:rPr>
          <w:rFonts w:ascii="Times New Roman" w:hAnsi="Times New Roman" w:cs="Times New Roman"/>
          <w:b/>
          <w:color w:val="4472C4" w:themeColor="accent1"/>
          <w:sz w:val="28"/>
          <w:szCs w:val="28"/>
        </w:rPr>
      </w:pPr>
      <w:r>
        <w:rPr>
          <w:rFonts w:ascii="Times New Roman" w:hAnsi="Times New Roman" w:cs="Times New Roman"/>
          <w:b/>
          <w:color w:val="4472C4" w:themeColor="accent1"/>
          <w:sz w:val="28"/>
          <w:szCs w:val="28"/>
        </w:rPr>
        <w:t>A</w:t>
      </w:r>
      <w:r w:rsidRPr="001C6F38">
        <w:rPr>
          <w:rFonts w:ascii="Times New Roman" w:hAnsi="Times New Roman" w:cs="Times New Roman"/>
          <w:b/>
          <w:color w:val="4472C4" w:themeColor="accent1"/>
          <w:sz w:val="28"/>
          <w:szCs w:val="28"/>
        </w:rPr>
        <w:t xml:space="preserve">ppeal and </w:t>
      </w:r>
      <w:r>
        <w:rPr>
          <w:rFonts w:ascii="Times New Roman" w:hAnsi="Times New Roman" w:cs="Times New Roman"/>
          <w:b/>
          <w:color w:val="4472C4" w:themeColor="accent1"/>
          <w:sz w:val="28"/>
          <w:szCs w:val="28"/>
        </w:rPr>
        <w:t>J</w:t>
      </w:r>
      <w:r w:rsidRPr="001C6F38">
        <w:rPr>
          <w:rFonts w:ascii="Times New Roman" w:hAnsi="Times New Roman" w:cs="Times New Roman"/>
          <w:b/>
          <w:color w:val="4472C4" w:themeColor="accent1"/>
          <w:sz w:val="28"/>
          <w:szCs w:val="28"/>
        </w:rPr>
        <w:t xml:space="preserve">udicial </w:t>
      </w:r>
      <w:r>
        <w:rPr>
          <w:rFonts w:ascii="Times New Roman" w:hAnsi="Times New Roman" w:cs="Times New Roman"/>
          <w:b/>
          <w:color w:val="4472C4" w:themeColor="accent1"/>
          <w:sz w:val="28"/>
          <w:szCs w:val="28"/>
        </w:rPr>
        <w:t>R</w:t>
      </w:r>
      <w:r w:rsidRPr="001C6F38">
        <w:rPr>
          <w:rFonts w:ascii="Times New Roman" w:hAnsi="Times New Roman" w:cs="Times New Roman"/>
          <w:b/>
          <w:color w:val="4472C4" w:themeColor="accent1"/>
          <w:sz w:val="28"/>
          <w:szCs w:val="28"/>
        </w:rPr>
        <w:t xml:space="preserve">eview </w:t>
      </w:r>
      <w:r>
        <w:rPr>
          <w:rFonts w:ascii="Times New Roman" w:hAnsi="Times New Roman" w:cs="Times New Roman"/>
          <w:b/>
          <w:color w:val="4472C4" w:themeColor="accent1"/>
          <w:sz w:val="28"/>
          <w:szCs w:val="28"/>
        </w:rPr>
        <w:t>D</w:t>
      </w:r>
      <w:r w:rsidRPr="001C6F38">
        <w:rPr>
          <w:rFonts w:ascii="Times New Roman" w:hAnsi="Times New Roman" w:cs="Times New Roman"/>
          <w:b/>
          <w:color w:val="4472C4" w:themeColor="accent1"/>
          <w:sz w:val="28"/>
          <w:szCs w:val="28"/>
        </w:rPr>
        <w:t>istinguished</w:t>
      </w:r>
    </w:p>
    <w:p w14:paraId="6593B119" w14:textId="77777777" w:rsidR="00D5758A" w:rsidRPr="001C6F38" w:rsidRDefault="00D5758A" w:rsidP="00D5758A">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The basic principle of judicial review is that it is only the decision making process and not the merits of the decision which is reviewable unless the decision or action of the administrative authority is vitiated by arbitrariness, unfairness, illegality, irrationality or when decision is such as no reasonable person on proper application of mind could take such as decision. However, the court would not substitute its own opinion for that of experts. </w:t>
      </w:r>
    </w:p>
    <w:p w14:paraId="6DFDF8A7" w14:textId="77777777" w:rsidR="00D5758A" w:rsidRPr="001C6F38" w:rsidRDefault="00D5758A" w:rsidP="00D5758A">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Judicial review is thus different from an appeal when hearing an appeal, the court is concerned with the merits of the decision but in judicial review the court is basically concerned with the decision-making process because even otherwise the court is hardly equipped to review the merits of the decision.  </w:t>
      </w:r>
    </w:p>
    <w:p w14:paraId="1AA81301" w14:textId="77777777" w:rsidR="00D5758A" w:rsidRDefault="00D5758A" w:rsidP="001C6F38">
      <w:pPr>
        <w:spacing w:line="360" w:lineRule="auto"/>
        <w:jc w:val="both"/>
        <w:rPr>
          <w:rFonts w:ascii="Times New Roman" w:hAnsi="Times New Roman" w:cs="Times New Roman"/>
          <w:b/>
          <w:bCs/>
          <w:color w:val="4472C4" w:themeColor="accent1"/>
          <w:sz w:val="28"/>
          <w:szCs w:val="28"/>
        </w:rPr>
      </w:pPr>
    </w:p>
    <w:p w14:paraId="506BC0BB" w14:textId="198EE9B2" w:rsidR="00693BA4" w:rsidRPr="00693BA4" w:rsidRDefault="00693BA4" w:rsidP="001C6F38">
      <w:pPr>
        <w:spacing w:line="360" w:lineRule="auto"/>
        <w:jc w:val="both"/>
        <w:rPr>
          <w:rFonts w:ascii="Times New Roman" w:hAnsi="Times New Roman" w:cs="Times New Roman"/>
          <w:b/>
          <w:bCs/>
          <w:color w:val="4472C4" w:themeColor="accent1"/>
          <w:sz w:val="28"/>
          <w:szCs w:val="28"/>
        </w:rPr>
      </w:pPr>
      <w:r w:rsidRPr="00693BA4">
        <w:rPr>
          <w:rFonts w:ascii="Times New Roman" w:hAnsi="Times New Roman" w:cs="Times New Roman"/>
          <w:b/>
          <w:bCs/>
          <w:color w:val="4472C4" w:themeColor="accent1"/>
          <w:sz w:val="28"/>
          <w:szCs w:val="28"/>
        </w:rPr>
        <w:t>Judicial Review in Other Countries</w:t>
      </w:r>
    </w:p>
    <w:p w14:paraId="1E1CB341" w14:textId="08481574" w:rsidR="00064501" w:rsidRPr="001C6F38" w:rsidRDefault="00064501"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In India, the position of the judiciary is somewhere in between the courts in England and the United States. In England, a law duly made by parliament cannot be challenged </w:t>
      </w:r>
      <w:proofErr w:type="gramStart"/>
      <w:r w:rsidRPr="001C6F38">
        <w:rPr>
          <w:rFonts w:ascii="Times New Roman" w:hAnsi="Times New Roman" w:cs="Times New Roman"/>
          <w:sz w:val="28"/>
          <w:szCs w:val="28"/>
        </w:rPr>
        <w:t>in  any</w:t>
      </w:r>
      <w:proofErr w:type="gramEnd"/>
      <w:r w:rsidRPr="001C6F38">
        <w:rPr>
          <w:rFonts w:ascii="Times New Roman" w:hAnsi="Times New Roman" w:cs="Times New Roman"/>
          <w:sz w:val="28"/>
          <w:szCs w:val="28"/>
        </w:rPr>
        <w:t xml:space="preserve"> court. The English Courts have to interpret and apply the law; they have no authority to declare such a law illegal or unconstitutional.   In United State, the Supreme Court is supreme and can declare any law unconstitutional on the ground of its not being in “due process of law”. </w:t>
      </w:r>
      <w:r w:rsidRPr="00693BA4">
        <w:rPr>
          <w:rFonts w:ascii="Times New Roman" w:hAnsi="Times New Roman" w:cs="Times New Roman"/>
          <w:sz w:val="28"/>
          <w:szCs w:val="28"/>
          <w:highlight w:val="yellow"/>
        </w:rPr>
        <w:t>Our Constitution, unlike the English Constitution, recognizes the court’s supremacy over the legislative authority, but such supremacy is a very limited one, for it is confined to the field where the legislative power is circumscribed by limitation put upon it by the constitution itself.</w:t>
      </w:r>
      <w:r w:rsidRPr="001C6F38">
        <w:rPr>
          <w:rFonts w:ascii="Times New Roman" w:hAnsi="Times New Roman" w:cs="Times New Roman"/>
          <w:sz w:val="28"/>
          <w:szCs w:val="28"/>
        </w:rPr>
        <w:t xml:space="preserve"> Within the restricted field the court may, on a scrutiny of law made by the legislature, declare it void if it is found to have transgressed the </w:t>
      </w:r>
      <w:r w:rsidRPr="001C6F38">
        <w:rPr>
          <w:rFonts w:ascii="Times New Roman" w:hAnsi="Times New Roman" w:cs="Times New Roman"/>
          <w:sz w:val="28"/>
          <w:szCs w:val="28"/>
        </w:rPr>
        <w:lastRenderedPageBreak/>
        <w:t xml:space="preserve">constitutional limitation. Unlike the USA constitution, the Court in India have no authority to question the wisdom or policy of the law duly made by the legislature. </w:t>
      </w:r>
    </w:p>
    <w:p w14:paraId="7103666E" w14:textId="1247D4DE" w:rsidR="00693BA4" w:rsidRDefault="00693BA4" w:rsidP="001C6F3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the case </w:t>
      </w:r>
      <w:r w:rsidRPr="001C6F38">
        <w:rPr>
          <w:rFonts w:ascii="Times New Roman" w:hAnsi="Times New Roman" w:cs="Times New Roman"/>
          <w:b/>
          <w:i/>
          <w:sz w:val="28"/>
          <w:szCs w:val="28"/>
        </w:rPr>
        <w:t xml:space="preserve">Sarojini </w:t>
      </w:r>
      <w:proofErr w:type="spellStart"/>
      <w:r w:rsidRPr="001C6F38">
        <w:rPr>
          <w:rFonts w:ascii="Times New Roman" w:hAnsi="Times New Roman" w:cs="Times New Roman"/>
          <w:b/>
          <w:i/>
          <w:sz w:val="28"/>
          <w:szCs w:val="28"/>
        </w:rPr>
        <w:t>Ramaswami</w:t>
      </w:r>
      <w:proofErr w:type="spellEnd"/>
      <w:r w:rsidRPr="001C6F38">
        <w:rPr>
          <w:rFonts w:ascii="Times New Roman" w:hAnsi="Times New Roman" w:cs="Times New Roman"/>
          <w:b/>
          <w:i/>
          <w:sz w:val="28"/>
          <w:szCs w:val="28"/>
        </w:rPr>
        <w:t xml:space="preserve"> </w:t>
      </w:r>
      <w:r w:rsidRPr="001C6F38">
        <w:rPr>
          <w:rFonts w:ascii="Times New Roman" w:hAnsi="Times New Roman" w:cs="Times New Roman"/>
          <w:b/>
          <w:sz w:val="28"/>
          <w:szCs w:val="28"/>
        </w:rPr>
        <w:t xml:space="preserve">(Mrs.) v. </w:t>
      </w:r>
      <w:r w:rsidRPr="001C6F38">
        <w:rPr>
          <w:rFonts w:ascii="Times New Roman" w:hAnsi="Times New Roman" w:cs="Times New Roman"/>
          <w:b/>
          <w:i/>
          <w:sz w:val="28"/>
          <w:szCs w:val="28"/>
        </w:rPr>
        <w:t>UOI</w:t>
      </w:r>
      <w:r>
        <w:rPr>
          <w:rFonts w:ascii="Times New Roman" w:hAnsi="Times New Roman" w:cs="Times New Roman"/>
          <w:b/>
          <w:i/>
          <w:sz w:val="28"/>
          <w:szCs w:val="28"/>
        </w:rPr>
        <w:t>,</w:t>
      </w:r>
      <w:r>
        <w:rPr>
          <w:rStyle w:val="FootnoteReference"/>
          <w:rFonts w:ascii="Times New Roman" w:hAnsi="Times New Roman" w:cs="Times New Roman"/>
          <w:b/>
          <w:i/>
          <w:sz w:val="28"/>
          <w:szCs w:val="28"/>
        </w:rPr>
        <w:footnoteReference w:id="6"/>
      </w:r>
      <w:r w:rsidRPr="001C6F38">
        <w:rPr>
          <w:rFonts w:ascii="Times New Roman" w:hAnsi="Times New Roman" w:cs="Times New Roman"/>
          <w:i/>
          <w:sz w:val="28"/>
          <w:szCs w:val="28"/>
        </w:rPr>
        <w:t xml:space="preserve"> </w:t>
      </w:r>
      <w:r>
        <w:rPr>
          <w:rFonts w:ascii="Times New Roman" w:hAnsi="Times New Roman" w:cs="Times New Roman"/>
          <w:sz w:val="28"/>
          <w:szCs w:val="28"/>
        </w:rPr>
        <w:t>of it had been held that, the</w:t>
      </w:r>
      <w:r w:rsidR="00064501" w:rsidRPr="001C6F38">
        <w:rPr>
          <w:rFonts w:ascii="Times New Roman" w:hAnsi="Times New Roman" w:cs="Times New Roman"/>
          <w:sz w:val="28"/>
          <w:szCs w:val="28"/>
        </w:rPr>
        <w:t xml:space="preserve"> right of seeking judicial review depends on the facts of each individual case, however, there cannot be a review of an abstract proposition of la</w:t>
      </w:r>
      <w:r>
        <w:rPr>
          <w:rFonts w:ascii="Times New Roman" w:hAnsi="Times New Roman" w:cs="Times New Roman"/>
          <w:sz w:val="28"/>
          <w:szCs w:val="28"/>
        </w:rPr>
        <w:t>w</w:t>
      </w:r>
      <w:r w:rsidR="00064501" w:rsidRPr="001C6F38">
        <w:rPr>
          <w:rFonts w:ascii="Times New Roman" w:hAnsi="Times New Roman" w:cs="Times New Roman"/>
          <w:sz w:val="28"/>
          <w:szCs w:val="28"/>
        </w:rPr>
        <w:t xml:space="preserve">. </w:t>
      </w:r>
    </w:p>
    <w:p w14:paraId="4E158FFE" w14:textId="6B526A23" w:rsidR="00064501" w:rsidRPr="001C6F38" w:rsidRDefault="00064501"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In </w:t>
      </w:r>
      <w:r w:rsidRPr="001C6F38">
        <w:rPr>
          <w:rFonts w:ascii="Times New Roman" w:hAnsi="Times New Roman" w:cs="Times New Roman"/>
          <w:b/>
          <w:i/>
          <w:sz w:val="28"/>
          <w:szCs w:val="28"/>
        </w:rPr>
        <w:t xml:space="preserve">State of Punjab v. Ram </w:t>
      </w:r>
      <w:proofErr w:type="spellStart"/>
      <w:r w:rsidRPr="001C6F38">
        <w:rPr>
          <w:rFonts w:ascii="Times New Roman" w:hAnsi="Times New Roman" w:cs="Times New Roman"/>
          <w:b/>
          <w:i/>
          <w:sz w:val="28"/>
          <w:szCs w:val="28"/>
        </w:rPr>
        <w:t>Lubhaya</w:t>
      </w:r>
      <w:proofErr w:type="spellEnd"/>
      <w:r w:rsidRPr="001C6F38">
        <w:rPr>
          <w:rFonts w:ascii="Times New Roman" w:hAnsi="Times New Roman" w:cs="Times New Roman"/>
          <w:b/>
          <w:i/>
          <w:sz w:val="28"/>
          <w:szCs w:val="28"/>
        </w:rPr>
        <w:t xml:space="preserve"> </w:t>
      </w:r>
      <w:proofErr w:type="spellStart"/>
      <w:r w:rsidRPr="001C6F38">
        <w:rPr>
          <w:rFonts w:ascii="Times New Roman" w:hAnsi="Times New Roman" w:cs="Times New Roman"/>
          <w:b/>
          <w:i/>
          <w:sz w:val="28"/>
          <w:szCs w:val="28"/>
        </w:rPr>
        <w:t>Bagga</w:t>
      </w:r>
      <w:proofErr w:type="spellEnd"/>
      <w:r w:rsidR="00693BA4">
        <w:rPr>
          <w:rFonts w:ascii="Times New Roman" w:hAnsi="Times New Roman" w:cs="Times New Roman"/>
          <w:b/>
          <w:i/>
          <w:sz w:val="28"/>
          <w:szCs w:val="28"/>
        </w:rPr>
        <w:t xml:space="preserve">, </w:t>
      </w:r>
      <w:r w:rsidR="00693BA4">
        <w:rPr>
          <w:rStyle w:val="FootnoteReference"/>
          <w:rFonts w:ascii="Times New Roman" w:hAnsi="Times New Roman" w:cs="Times New Roman"/>
          <w:b/>
          <w:i/>
          <w:sz w:val="28"/>
          <w:szCs w:val="28"/>
        </w:rPr>
        <w:footnoteReference w:id="7"/>
      </w:r>
      <w:r w:rsidRPr="001C6F38">
        <w:rPr>
          <w:rFonts w:ascii="Times New Roman" w:hAnsi="Times New Roman" w:cs="Times New Roman"/>
          <w:sz w:val="28"/>
          <w:szCs w:val="28"/>
        </w:rPr>
        <w:t xml:space="preserve">the Supreme Court held that the wisdom of the Government’s policy cannot be judicially scrutinized though the court can consider whether the policy is arbitrary or violative of law. The right of the state to change its policy from time to time, under the changing circumstances is neither challenged nor could it be. When government forms its policy, it is based on a number of circumstances or facts, law including constraints based on its resources. It is also based on expert opinion. It would be dangerous to weigh the pros and cons of the policy or to taste the utility, beneficial effect of the policy or its appraisal based on the facts set out on affidavits. The court would dissuade itself from entering into its realm which belongs to the executive. </w:t>
      </w:r>
    </w:p>
    <w:p w14:paraId="0BD2656D" w14:textId="77777777" w:rsidR="00D5758A" w:rsidRPr="00D5758A" w:rsidRDefault="00064501" w:rsidP="001C6F38">
      <w:pPr>
        <w:spacing w:line="360" w:lineRule="auto"/>
        <w:jc w:val="both"/>
        <w:rPr>
          <w:rFonts w:ascii="Times New Roman" w:hAnsi="Times New Roman" w:cs="Times New Roman"/>
          <w:i/>
          <w:iCs/>
          <w:sz w:val="28"/>
          <w:szCs w:val="28"/>
        </w:rPr>
      </w:pPr>
      <w:r w:rsidRPr="00D5758A">
        <w:rPr>
          <w:rFonts w:ascii="Times New Roman" w:hAnsi="Times New Roman" w:cs="Times New Roman"/>
          <w:i/>
          <w:iCs/>
          <w:sz w:val="28"/>
          <w:szCs w:val="28"/>
        </w:rPr>
        <w:t>Ever since the commencement of the constitution, the writ system has been the most commonly used technique of judicial control to bring administrative action within the cognizance of courts. Innumerable cases relating to writs seem to indicate that the writs cases have overshadowed all other cases of judicial control of administrative action.</w:t>
      </w:r>
    </w:p>
    <w:p w14:paraId="77F021E3" w14:textId="2189D0A1" w:rsidR="001137E8" w:rsidRPr="00D5758A" w:rsidRDefault="001C6F38" w:rsidP="001C6F38">
      <w:pPr>
        <w:spacing w:line="360" w:lineRule="auto"/>
        <w:jc w:val="both"/>
        <w:rPr>
          <w:rFonts w:ascii="Times New Roman" w:hAnsi="Times New Roman" w:cs="Times New Roman"/>
          <w:sz w:val="28"/>
          <w:szCs w:val="28"/>
        </w:rPr>
      </w:pPr>
      <w:r w:rsidRPr="00D5758A">
        <w:rPr>
          <w:rFonts w:ascii="Times New Roman" w:hAnsi="Times New Roman" w:cs="Times New Roman"/>
          <w:b/>
          <w:bCs/>
          <w:color w:val="444444"/>
          <w:sz w:val="28"/>
          <w:szCs w:val="28"/>
          <w:highlight w:val="yellow"/>
          <w:shd w:val="clear" w:color="auto" w:fill="FFFFFF"/>
        </w:rPr>
        <w:t>Five types of writs are available for judicial review of administrative actions under Article 32, and Article 226 of the Indian Constitution.</w:t>
      </w:r>
      <w:r w:rsidRPr="001C6F38">
        <w:rPr>
          <w:rFonts w:ascii="Times New Roman" w:hAnsi="Times New Roman" w:cs="Times New Roman"/>
          <w:b/>
          <w:bCs/>
          <w:color w:val="444444"/>
          <w:sz w:val="28"/>
          <w:szCs w:val="28"/>
          <w:shd w:val="clear" w:color="auto" w:fill="FFFFFF"/>
        </w:rPr>
        <w:t xml:space="preserve"> </w:t>
      </w:r>
    </w:p>
    <w:p w14:paraId="354F2DE2" w14:textId="313BC1A1" w:rsidR="00D5758A" w:rsidRPr="00D5758A" w:rsidRDefault="001137E8" w:rsidP="001C6F38">
      <w:pPr>
        <w:spacing w:line="360" w:lineRule="auto"/>
        <w:jc w:val="both"/>
        <w:rPr>
          <w:rFonts w:ascii="Times New Roman" w:hAnsi="Times New Roman" w:cs="Times New Roman"/>
          <w:b/>
          <w:bCs/>
          <w:sz w:val="28"/>
          <w:szCs w:val="28"/>
        </w:rPr>
      </w:pPr>
      <w:r w:rsidRPr="001C6F38">
        <w:rPr>
          <w:rFonts w:ascii="Times New Roman" w:hAnsi="Times New Roman" w:cs="Times New Roman"/>
          <w:sz w:val="28"/>
          <w:szCs w:val="28"/>
        </w:rPr>
        <w:t xml:space="preserve">The system of writs has been designed under </w:t>
      </w:r>
      <w:r w:rsidRPr="00D5758A">
        <w:rPr>
          <w:rFonts w:ascii="Times New Roman" w:hAnsi="Times New Roman" w:cs="Times New Roman"/>
          <w:b/>
          <w:bCs/>
          <w:sz w:val="28"/>
          <w:szCs w:val="28"/>
        </w:rPr>
        <w:t>Article 32</w:t>
      </w:r>
      <w:r w:rsidRPr="00D5758A">
        <w:rPr>
          <w:rFonts w:ascii="Times New Roman" w:hAnsi="Times New Roman" w:cs="Times New Roman"/>
          <w:sz w:val="28"/>
          <w:szCs w:val="28"/>
        </w:rPr>
        <w:t xml:space="preserve"> </w:t>
      </w:r>
      <w:r w:rsidRPr="00D5758A">
        <w:rPr>
          <w:rFonts w:ascii="Times New Roman" w:hAnsi="Times New Roman" w:cs="Times New Roman"/>
          <w:b/>
          <w:bCs/>
          <w:sz w:val="28"/>
          <w:szCs w:val="28"/>
        </w:rPr>
        <w:t>and 226 of the</w:t>
      </w:r>
      <w:r w:rsidRPr="00D5758A">
        <w:rPr>
          <w:rFonts w:ascii="Times New Roman" w:hAnsi="Times New Roman" w:cs="Times New Roman"/>
          <w:sz w:val="28"/>
          <w:szCs w:val="28"/>
        </w:rPr>
        <w:t xml:space="preserve"> </w:t>
      </w:r>
      <w:r w:rsidRPr="00D5758A">
        <w:rPr>
          <w:rFonts w:ascii="Times New Roman" w:hAnsi="Times New Roman" w:cs="Times New Roman"/>
          <w:b/>
          <w:bCs/>
          <w:sz w:val="28"/>
          <w:szCs w:val="28"/>
        </w:rPr>
        <w:t>Indian Constitution</w:t>
      </w:r>
      <w:r w:rsidRPr="00D5758A">
        <w:rPr>
          <w:rFonts w:ascii="Times New Roman" w:hAnsi="Times New Roman" w:cs="Times New Roman"/>
          <w:sz w:val="28"/>
          <w:szCs w:val="28"/>
        </w:rPr>
        <w:t xml:space="preserve">. Article 32(1) guarantees the right to move the Supreme Court, by appropriate proceedings, for the enforcement of Fundamental Right conferred by Part III of the Constitution. Article 32 (2) empowers the Supreme Court to issue directions of orders of writs, including writs in the nature of </w:t>
      </w:r>
      <w:r w:rsidRPr="00D5758A">
        <w:rPr>
          <w:rFonts w:ascii="Times New Roman" w:hAnsi="Times New Roman" w:cs="Times New Roman"/>
          <w:b/>
          <w:bCs/>
          <w:sz w:val="28"/>
          <w:szCs w:val="28"/>
        </w:rPr>
        <w:t xml:space="preserve">Habeas Corpus, Mandamus, </w:t>
      </w:r>
      <w:r w:rsidRPr="00D5758A">
        <w:rPr>
          <w:rFonts w:ascii="Times New Roman" w:hAnsi="Times New Roman" w:cs="Times New Roman"/>
          <w:b/>
          <w:bCs/>
          <w:sz w:val="28"/>
          <w:szCs w:val="28"/>
        </w:rPr>
        <w:lastRenderedPageBreak/>
        <w:t xml:space="preserve">Prohibition, Quo – </w:t>
      </w:r>
      <w:r w:rsidR="00A44475">
        <w:rPr>
          <w:rFonts w:ascii="Times New Roman" w:hAnsi="Times New Roman" w:cs="Times New Roman"/>
          <w:b/>
          <w:bCs/>
          <w:sz w:val="28"/>
          <w:szCs w:val="28"/>
        </w:rPr>
        <w:t>W</w:t>
      </w:r>
      <w:r w:rsidRPr="00D5758A">
        <w:rPr>
          <w:rFonts w:ascii="Times New Roman" w:hAnsi="Times New Roman" w:cs="Times New Roman"/>
          <w:b/>
          <w:bCs/>
          <w:sz w:val="28"/>
          <w:szCs w:val="28"/>
        </w:rPr>
        <w:t xml:space="preserve">arranto, Certiorari whichever may be appropriate for the enforcement of those Fundamental Rights. </w:t>
      </w:r>
    </w:p>
    <w:p w14:paraId="5251087C" w14:textId="25EE13BE" w:rsidR="001137E8" w:rsidRPr="001C6F38" w:rsidRDefault="001137E8"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Article 226(1) empowers every high Court, notwithstanding anything un Article 32, throughout the territories in relation to which it exercises jurisdiction, to issue to any person or authority, including in appropriate cases any Government within those territories, directions, orders of writs, including writs in the nature of Habeas Corpus, Mandamus, Prohibition, Quo – warranto, Certiorari, or any of them for the enforcement of fundamental rights and for any other purpose. </w:t>
      </w:r>
    </w:p>
    <w:p w14:paraId="09BF632E" w14:textId="316DFA76" w:rsidR="001137E8" w:rsidRPr="001C6F38" w:rsidRDefault="00D5758A" w:rsidP="001C6F38">
      <w:pPr>
        <w:spacing w:line="360" w:lineRule="auto"/>
        <w:jc w:val="both"/>
        <w:rPr>
          <w:rFonts w:ascii="Times New Roman" w:hAnsi="Times New Roman" w:cs="Times New Roman"/>
          <w:b/>
          <w:color w:val="4472C4" w:themeColor="accent1"/>
          <w:sz w:val="28"/>
          <w:szCs w:val="28"/>
        </w:rPr>
      </w:pPr>
      <w:r>
        <w:rPr>
          <w:rFonts w:ascii="Times New Roman" w:hAnsi="Times New Roman" w:cs="Times New Roman"/>
          <w:b/>
          <w:color w:val="4472C4" w:themeColor="accent1"/>
          <w:sz w:val="28"/>
          <w:szCs w:val="28"/>
        </w:rPr>
        <w:t>I</w:t>
      </w:r>
      <w:r w:rsidRPr="001C6F38">
        <w:rPr>
          <w:rFonts w:ascii="Times New Roman" w:hAnsi="Times New Roman" w:cs="Times New Roman"/>
          <w:b/>
          <w:color w:val="4472C4" w:themeColor="accent1"/>
          <w:sz w:val="28"/>
          <w:szCs w:val="28"/>
        </w:rPr>
        <w:t xml:space="preserve">mportance </w:t>
      </w:r>
      <w:r>
        <w:rPr>
          <w:rFonts w:ascii="Times New Roman" w:hAnsi="Times New Roman" w:cs="Times New Roman"/>
          <w:b/>
          <w:color w:val="4472C4" w:themeColor="accent1"/>
          <w:sz w:val="28"/>
          <w:szCs w:val="28"/>
        </w:rPr>
        <w:t xml:space="preserve">and Scope </w:t>
      </w:r>
      <w:r w:rsidRPr="001C6F38">
        <w:rPr>
          <w:rFonts w:ascii="Times New Roman" w:hAnsi="Times New Roman" w:cs="Times New Roman"/>
          <w:b/>
          <w:color w:val="4472C4" w:themeColor="accent1"/>
          <w:sz w:val="28"/>
          <w:szCs w:val="28"/>
        </w:rPr>
        <w:t>of article 32</w:t>
      </w:r>
    </w:p>
    <w:p w14:paraId="0E4C7EEE" w14:textId="001EF430" w:rsidR="001137E8" w:rsidRPr="001C6F38" w:rsidRDefault="001137E8"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Article 32 not only provides a guaranteed remedy for the enforcement of fundamental rights but makes </w:t>
      </w:r>
      <w:r w:rsidR="00D5758A" w:rsidRPr="001C6F38">
        <w:rPr>
          <w:rFonts w:ascii="Times New Roman" w:hAnsi="Times New Roman" w:cs="Times New Roman"/>
          <w:sz w:val="28"/>
          <w:szCs w:val="28"/>
        </w:rPr>
        <w:t>this remedial right</w:t>
      </w:r>
      <w:r w:rsidRPr="001C6F38">
        <w:rPr>
          <w:rFonts w:ascii="Times New Roman" w:hAnsi="Times New Roman" w:cs="Times New Roman"/>
          <w:sz w:val="28"/>
          <w:szCs w:val="28"/>
        </w:rPr>
        <w:t xml:space="preserve"> itself a fundamental right by including it in Part III of the Constitution. A notable aspect of writ jurisdiction is that while dealing with a petition under Article 32, the court would confine itself to the question of infringement of Fundamental Rights and would not go into any other question. Violation of Fundamental Right is the </w:t>
      </w:r>
      <w:r w:rsidRPr="005B5409">
        <w:rPr>
          <w:rFonts w:ascii="Times New Roman" w:hAnsi="Times New Roman" w:cs="Times New Roman"/>
          <w:b/>
          <w:bCs/>
          <w:i/>
          <w:sz w:val="28"/>
          <w:szCs w:val="28"/>
        </w:rPr>
        <w:t>sine qua non</w:t>
      </w:r>
      <w:r w:rsidRPr="001C6F38">
        <w:rPr>
          <w:rFonts w:ascii="Times New Roman" w:hAnsi="Times New Roman" w:cs="Times New Roman"/>
          <w:sz w:val="28"/>
          <w:szCs w:val="28"/>
        </w:rPr>
        <w:t xml:space="preserve"> of the exercise of the right conferred by Article 32. If petitioner’s Fundamental Right is not infringed, Article 32 cannot be invoked even though administrative action is illegal. But when illegal administrative action infringes a fundamental right, then the remedy under Article 32 would be available. </w:t>
      </w:r>
    </w:p>
    <w:p w14:paraId="27AE322D" w14:textId="51CF7F9F" w:rsidR="001137E8" w:rsidRPr="001C6F38" w:rsidRDefault="001137E8"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Though the jurisdiction of the Supreme Court under Article 32 is confined to the enforcement of Fundamental Rights yet if there is a clear abuse of the process of the court petition is maintainable even if no violation of fundamental right is involved. </w:t>
      </w:r>
      <w:proofErr w:type="gramStart"/>
      <w:r w:rsidRPr="001C6F38">
        <w:rPr>
          <w:rFonts w:ascii="Times New Roman" w:hAnsi="Times New Roman" w:cs="Times New Roman"/>
          <w:sz w:val="28"/>
          <w:szCs w:val="28"/>
        </w:rPr>
        <w:t>Thus</w:t>
      </w:r>
      <w:proofErr w:type="gramEnd"/>
      <w:r w:rsidRPr="001C6F38">
        <w:rPr>
          <w:rFonts w:ascii="Times New Roman" w:hAnsi="Times New Roman" w:cs="Times New Roman"/>
          <w:sz w:val="28"/>
          <w:szCs w:val="28"/>
        </w:rPr>
        <w:t xml:space="preserve"> when a person manipulated facts in order to get a degree by a court to defeat the ends of justice in such a situation petition under Article 32 is maintainable</w:t>
      </w:r>
      <w:r w:rsidR="00D5758A">
        <w:rPr>
          <w:rFonts w:ascii="Times New Roman" w:hAnsi="Times New Roman" w:cs="Times New Roman"/>
          <w:sz w:val="28"/>
          <w:szCs w:val="28"/>
        </w:rPr>
        <w:t xml:space="preserve"> as has been held in the case of </w:t>
      </w:r>
      <w:proofErr w:type="spellStart"/>
      <w:r w:rsidRPr="00D5758A">
        <w:rPr>
          <w:rFonts w:ascii="Times New Roman" w:hAnsi="Times New Roman" w:cs="Times New Roman"/>
          <w:b/>
          <w:bCs/>
          <w:i/>
          <w:sz w:val="28"/>
          <w:szCs w:val="28"/>
        </w:rPr>
        <w:t>Jhumman</w:t>
      </w:r>
      <w:proofErr w:type="spellEnd"/>
      <w:r w:rsidRPr="00D5758A">
        <w:rPr>
          <w:rFonts w:ascii="Times New Roman" w:hAnsi="Times New Roman" w:cs="Times New Roman"/>
          <w:b/>
          <w:bCs/>
          <w:i/>
          <w:sz w:val="28"/>
          <w:szCs w:val="28"/>
        </w:rPr>
        <w:t xml:space="preserve"> Singh v. CBI</w:t>
      </w:r>
      <w:r w:rsidR="00D5758A">
        <w:rPr>
          <w:rStyle w:val="FootnoteReference"/>
          <w:rFonts w:ascii="Times New Roman" w:hAnsi="Times New Roman" w:cs="Times New Roman"/>
          <w:b/>
          <w:bCs/>
          <w:i/>
          <w:sz w:val="28"/>
          <w:szCs w:val="28"/>
        </w:rPr>
        <w:footnoteReference w:id="8"/>
      </w:r>
      <w:r w:rsidRPr="001C6F38">
        <w:rPr>
          <w:rFonts w:ascii="Times New Roman" w:hAnsi="Times New Roman" w:cs="Times New Roman"/>
          <w:sz w:val="28"/>
          <w:szCs w:val="28"/>
        </w:rPr>
        <w:t xml:space="preserve"> </w:t>
      </w:r>
    </w:p>
    <w:p w14:paraId="60C7A749" w14:textId="77777777" w:rsidR="001137E8" w:rsidRPr="00D5758A" w:rsidRDefault="001137E8" w:rsidP="001C6F38">
      <w:pPr>
        <w:spacing w:line="360" w:lineRule="auto"/>
        <w:jc w:val="both"/>
        <w:rPr>
          <w:rFonts w:ascii="Times New Roman" w:hAnsi="Times New Roman" w:cs="Times New Roman"/>
          <w:color w:val="4472C4" w:themeColor="accent1"/>
          <w:sz w:val="28"/>
          <w:szCs w:val="28"/>
        </w:rPr>
      </w:pPr>
      <w:r w:rsidRPr="001C6F38">
        <w:rPr>
          <w:rFonts w:ascii="Times New Roman" w:hAnsi="Times New Roman" w:cs="Times New Roman"/>
          <w:sz w:val="28"/>
          <w:szCs w:val="28"/>
        </w:rPr>
        <w:t xml:space="preserve">Article 136 which is in the nature of a residuary reserved power of judicial review lays down that the supreme court may in its discretion, grant special leave to appeal from any judgement, decree, determination, sentence or order in any case or matter passed or made </w:t>
      </w:r>
      <w:r w:rsidRPr="001C6F38">
        <w:rPr>
          <w:rFonts w:ascii="Times New Roman" w:hAnsi="Times New Roman" w:cs="Times New Roman"/>
          <w:sz w:val="28"/>
          <w:szCs w:val="28"/>
        </w:rPr>
        <w:lastRenderedPageBreak/>
        <w:t xml:space="preserve">by any court or tribunal. Thus, Article 136 does not confer a right of appeal on any party, but it confers a discretionary on the Supreme Court to interfere in suitable cases to advance the case of justice.  </w:t>
      </w:r>
    </w:p>
    <w:p w14:paraId="66698B89" w14:textId="33D13FA8" w:rsidR="001137E8" w:rsidRPr="00D5758A" w:rsidRDefault="00D5758A" w:rsidP="001C6F38">
      <w:pPr>
        <w:spacing w:line="360" w:lineRule="auto"/>
        <w:jc w:val="both"/>
        <w:rPr>
          <w:rFonts w:ascii="Times New Roman" w:hAnsi="Times New Roman" w:cs="Times New Roman"/>
          <w:b/>
          <w:color w:val="4472C4" w:themeColor="accent1"/>
          <w:sz w:val="28"/>
          <w:szCs w:val="28"/>
        </w:rPr>
      </w:pPr>
      <w:r>
        <w:rPr>
          <w:rFonts w:ascii="Times New Roman" w:hAnsi="Times New Roman" w:cs="Times New Roman"/>
          <w:b/>
          <w:color w:val="4472C4" w:themeColor="accent1"/>
          <w:sz w:val="28"/>
          <w:szCs w:val="28"/>
        </w:rPr>
        <w:t>S</w:t>
      </w:r>
      <w:r w:rsidRPr="00D5758A">
        <w:rPr>
          <w:rFonts w:ascii="Times New Roman" w:hAnsi="Times New Roman" w:cs="Times New Roman"/>
          <w:b/>
          <w:color w:val="4472C4" w:themeColor="accent1"/>
          <w:sz w:val="28"/>
          <w:szCs w:val="28"/>
        </w:rPr>
        <w:t>cope of artic</w:t>
      </w:r>
      <w:r>
        <w:rPr>
          <w:rFonts w:ascii="Times New Roman" w:hAnsi="Times New Roman" w:cs="Times New Roman"/>
          <w:b/>
          <w:color w:val="4472C4" w:themeColor="accent1"/>
          <w:sz w:val="28"/>
          <w:szCs w:val="28"/>
        </w:rPr>
        <w:t>l</w:t>
      </w:r>
      <w:r w:rsidRPr="00D5758A">
        <w:rPr>
          <w:rFonts w:ascii="Times New Roman" w:hAnsi="Times New Roman" w:cs="Times New Roman"/>
          <w:b/>
          <w:color w:val="4472C4" w:themeColor="accent1"/>
          <w:sz w:val="28"/>
          <w:szCs w:val="28"/>
        </w:rPr>
        <w:t>e 226</w:t>
      </w:r>
    </w:p>
    <w:p w14:paraId="7A1AF5CF" w14:textId="47C427AB" w:rsidR="001137E8" w:rsidRPr="001C6F38" w:rsidRDefault="001137E8"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Article 226 enables the High Court to issue writs for the enforcement of Fundamental Rights and also other ordinary legal rights. Thus, Article 32 and 226 provides the rights to constitutional remedies. The power of the High Court is wider than the power conferred by Article 32 on the Supreme Court. </w:t>
      </w:r>
      <w:r w:rsidR="00D5758A" w:rsidRPr="001C6F38">
        <w:rPr>
          <w:rFonts w:ascii="Times New Roman" w:hAnsi="Times New Roman" w:cs="Times New Roman"/>
          <w:sz w:val="28"/>
          <w:szCs w:val="28"/>
        </w:rPr>
        <w:t>However,</w:t>
      </w:r>
      <w:r w:rsidRPr="001C6F38">
        <w:rPr>
          <w:rFonts w:ascii="Times New Roman" w:hAnsi="Times New Roman" w:cs="Times New Roman"/>
          <w:sz w:val="28"/>
          <w:szCs w:val="28"/>
        </w:rPr>
        <w:t xml:space="preserve"> a petition under Article 32 may be filed to challenge the validity of a law with reference to a provision other than those involving fundamental rights, provided it inevitably causes a restriction on the enjoyment of Fundamental Rights. </w:t>
      </w:r>
    </w:p>
    <w:p w14:paraId="77550DBE" w14:textId="3D287A4D" w:rsidR="001137E8" w:rsidRPr="001C6F38" w:rsidRDefault="001137E8"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It may be noted that the power if High Court to issue writs cannot be in derogation of the Supreme Court’s power. In other words, an order under Article 32 will supersede the orders of the high court previously passed. There is no need to resort to article </w:t>
      </w:r>
      <w:r w:rsidR="009F1356" w:rsidRPr="001C6F38">
        <w:rPr>
          <w:rFonts w:ascii="Times New Roman" w:hAnsi="Times New Roman" w:cs="Times New Roman"/>
          <w:sz w:val="28"/>
          <w:szCs w:val="28"/>
        </w:rPr>
        <w:t>226 before</w:t>
      </w:r>
      <w:r w:rsidRPr="001C6F38">
        <w:rPr>
          <w:rFonts w:ascii="Times New Roman" w:hAnsi="Times New Roman" w:cs="Times New Roman"/>
          <w:sz w:val="28"/>
          <w:szCs w:val="28"/>
        </w:rPr>
        <w:t xml:space="preserve"> approaching the supreme court under article 32. Thus, a person may directly move the Supreme Court. </w:t>
      </w:r>
    </w:p>
    <w:p w14:paraId="14FD227E" w14:textId="4BEADA7F" w:rsidR="001137E8" w:rsidRPr="001C6F38" w:rsidRDefault="001137E8" w:rsidP="001C6F38">
      <w:pPr>
        <w:spacing w:line="360" w:lineRule="auto"/>
        <w:jc w:val="both"/>
        <w:rPr>
          <w:rFonts w:ascii="Times New Roman" w:hAnsi="Times New Roman" w:cs="Times New Roman"/>
          <w:sz w:val="28"/>
          <w:szCs w:val="28"/>
        </w:rPr>
      </w:pPr>
      <w:r w:rsidRPr="001C6F38">
        <w:rPr>
          <w:rFonts w:ascii="Times New Roman" w:hAnsi="Times New Roman" w:cs="Times New Roman"/>
          <w:sz w:val="28"/>
          <w:szCs w:val="28"/>
        </w:rPr>
        <w:t xml:space="preserve">The jurisdiction of the High Court under Article 226 for the enforcement of fundamental rights is mandatory whereas for the enforcement of ordinary legal rights it is discretionary. The power of judicial review of the High Court under 226 is constitutional; </w:t>
      </w:r>
      <w:r w:rsidR="00D5758A" w:rsidRPr="001C6F38">
        <w:rPr>
          <w:rFonts w:ascii="Times New Roman" w:hAnsi="Times New Roman" w:cs="Times New Roman"/>
          <w:sz w:val="28"/>
          <w:szCs w:val="28"/>
        </w:rPr>
        <w:t>therefore,</w:t>
      </w:r>
      <w:r w:rsidRPr="001C6F38">
        <w:rPr>
          <w:rFonts w:ascii="Times New Roman" w:hAnsi="Times New Roman" w:cs="Times New Roman"/>
          <w:sz w:val="28"/>
          <w:szCs w:val="28"/>
        </w:rPr>
        <w:t xml:space="preserve"> no measure of finality g</w:t>
      </w:r>
      <w:r w:rsidR="00D5758A">
        <w:rPr>
          <w:rFonts w:ascii="Times New Roman" w:hAnsi="Times New Roman" w:cs="Times New Roman"/>
          <w:sz w:val="28"/>
          <w:szCs w:val="28"/>
        </w:rPr>
        <w:t>i</w:t>
      </w:r>
      <w:r w:rsidRPr="001C6F38">
        <w:rPr>
          <w:rFonts w:ascii="Times New Roman" w:hAnsi="Times New Roman" w:cs="Times New Roman"/>
          <w:sz w:val="28"/>
          <w:szCs w:val="28"/>
        </w:rPr>
        <w:t xml:space="preserve">ven by the legislature to any action or the decision can take away this power. High court can issue a writ to a person or </w:t>
      </w:r>
      <w:r w:rsidR="005B5409" w:rsidRPr="001C6F38">
        <w:rPr>
          <w:rFonts w:ascii="Times New Roman" w:hAnsi="Times New Roman" w:cs="Times New Roman"/>
          <w:sz w:val="28"/>
          <w:szCs w:val="28"/>
        </w:rPr>
        <w:t>an</w:t>
      </w:r>
      <w:r w:rsidRPr="001C6F38">
        <w:rPr>
          <w:rFonts w:ascii="Times New Roman" w:hAnsi="Times New Roman" w:cs="Times New Roman"/>
          <w:sz w:val="28"/>
          <w:szCs w:val="28"/>
        </w:rPr>
        <w:t xml:space="preserve"> authority having its location or residency within the territorial jurisdiction of the high court; if the cause of action either wholly or partly arises within its territorial jurisdiction. Therefore, a High Court can issue a writ even when the person or authority is located outside its territorial jurisdiction.     </w:t>
      </w:r>
    </w:p>
    <w:p w14:paraId="7065A208" w14:textId="66FD49B4" w:rsidR="001E2370" w:rsidRPr="001C6F38" w:rsidRDefault="001E2370" w:rsidP="001C6F38">
      <w:pPr>
        <w:spacing w:line="360" w:lineRule="auto"/>
        <w:jc w:val="both"/>
        <w:rPr>
          <w:rFonts w:ascii="Times New Roman" w:hAnsi="Times New Roman" w:cs="Times New Roman"/>
          <w:sz w:val="28"/>
          <w:szCs w:val="28"/>
        </w:rPr>
      </w:pPr>
    </w:p>
    <w:p w14:paraId="1E015DB4" w14:textId="357477AA" w:rsidR="001137E8" w:rsidRPr="001C6F38" w:rsidRDefault="001137E8" w:rsidP="001C6F38">
      <w:pPr>
        <w:spacing w:line="360" w:lineRule="auto"/>
        <w:jc w:val="both"/>
        <w:rPr>
          <w:rFonts w:ascii="Times New Roman" w:hAnsi="Times New Roman" w:cs="Times New Roman"/>
          <w:sz w:val="28"/>
          <w:szCs w:val="28"/>
        </w:rPr>
      </w:pPr>
    </w:p>
    <w:p w14:paraId="501F9437" w14:textId="77777777" w:rsidR="001137E8" w:rsidRPr="001C6F38" w:rsidRDefault="001137E8" w:rsidP="001C6F38">
      <w:pPr>
        <w:spacing w:line="360" w:lineRule="auto"/>
        <w:jc w:val="both"/>
        <w:rPr>
          <w:rFonts w:ascii="Times New Roman" w:hAnsi="Times New Roman" w:cs="Times New Roman"/>
          <w:sz w:val="28"/>
          <w:szCs w:val="28"/>
        </w:rPr>
      </w:pPr>
    </w:p>
    <w:sectPr w:rsidR="001137E8" w:rsidRPr="001C6F38" w:rsidSect="00134CB1">
      <w:pgSz w:w="11910" w:h="16840"/>
      <w:pgMar w:top="1060" w:right="998" w:bottom="1038" w:left="1021" w:header="0" w:footer="85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C34E3" w14:textId="77777777" w:rsidR="00B33AB5" w:rsidRDefault="00B33AB5" w:rsidP="001C6F38">
      <w:pPr>
        <w:spacing w:after="0" w:line="240" w:lineRule="auto"/>
      </w:pPr>
      <w:r>
        <w:separator/>
      </w:r>
    </w:p>
  </w:endnote>
  <w:endnote w:type="continuationSeparator" w:id="0">
    <w:p w14:paraId="3088F0B4" w14:textId="77777777" w:rsidR="00B33AB5" w:rsidRDefault="00B33AB5" w:rsidP="001C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F6ADB" w14:textId="77777777" w:rsidR="00B33AB5" w:rsidRDefault="00B33AB5" w:rsidP="001C6F38">
      <w:pPr>
        <w:spacing w:after="0" w:line="240" w:lineRule="auto"/>
      </w:pPr>
      <w:r>
        <w:separator/>
      </w:r>
    </w:p>
  </w:footnote>
  <w:footnote w:type="continuationSeparator" w:id="0">
    <w:p w14:paraId="1E7E74A7" w14:textId="77777777" w:rsidR="00B33AB5" w:rsidRDefault="00B33AB5" w:rsidP="001C6F38">
      <w:pPr>
        <w:spacing w:after="0" w:line="240" w:lineRule="auto"/>
      </w:pPr>
      <w:r>
        <w:continuationSeparator/>
      </w:r>
    </w:p>
  </w:footnote>
  <w:footnote w:id="1">
    <w:p w14:paraId="4451A308" w14:textId="77777777" w:rsidR="001E3923" w:rsidRDefault="001E3923" w:rsidP="001E3923">
      <w:pPr>
        <w:pStyle w:val="FootnoteText"/>
      </w:pPr>
      <w:r>
        <w:rPr>
          <w:rStyle w:val="FootnoteReference"/>
        </w:rPr>
        <w:footnoteRef/>
      </w:r>
      <w:r>
        <w:t xml:space="preserve"> </w:t>
      </w:r>
      <w:r w:rsidRPr="001C6F38">
        <w:rPr>
          <w:rFonts w:ascii="Times New Roman" w:hAnsi="Times New Roman" w:cs="Times New Roman"/>
          <w:sz w:val="28"/>
          <w:szCs w:val="28"/>
        </w:rPr>
        <w:t>(AIR 1973 SC 1461)</w:t>
      </w:r>
    </w:p>
  </w:footnote>
  <w:footnote w:id="2">
    <w:p w14:paraId="0065E455" w14:textId="1571097B" w:rsidR="00693BA4" w:rsidRDefault="00693BA4">
      <w:pPr>
        <w:pStyle w:val="FootnoteText"/>
      </w:pPr>
      <w:r>
        <w:rPr>
          <w:rStyle w:val="FootnoteReference"/>
        </w:rPr>
        <w:footnoteRef/>
      </w:r>
      <w:r>
        <w:t xml:space="preserve"> </w:t>
      </w:r>
      <w:r w:rsidRPr="001C6F38">
        <w:rPr>
          <w:rFonts w:ascii="Times New Roman" w:hAnsi="Times New Roman" w:cs="Times New Roman"/>
          <w:sz w:val="28"/>
          <w:szCs w:val="28"/>
        </w:rPr>
        <w:t>(AIR 1973 SC 1461)</w:t>
      </w:r>
    </w:p>
  </w:footnote>
  <w:footnote w:id="3">
    <w:p w14:paraId="27211B9B" w14:textId="3D75A6FB" w:rsidR="001C6F38" w:rsidRDefault="001C6F38">
      <w:pPr>
        <w:pStyle w:val="FootnoteText"/>
      </w:pPr>
      <w:r>
        <w:rPr>
          <w:rStyle w:val="FootnoteReference"/>
        </w:rPr>
        <w:footnoteRef/>
      </w:r>
      <w:r>
        <w:t xml:space="preserve"> </w:t>
      </w:r>
      <w:r w:rsidRPr="001C6F38">
        <w:rPr>
          <w:rFonts w:ascii="Times New Roman" w:hAnsi="Times New Roman" w:cs="Times New Roman"/>
          <w:sz w:val="28"/>
          <w:szCs w:val="28"/>
        </w:rPr>
        <w:t>(AIR 1970 SC 150)</w:t>
      </w:r>
    </w:p>
  </w:footnote>
  <w:footnote w:id="4">
    <w:p w14:paraId="3E79F0AE" w14:textId="5B8A6BBE" w:rsidR="00693BA4" w:rsidRDefault="00693BA4">
      <w:pPr>
        <w:pStyle w:val="FootnoteText"/>
      </w:pPr>
      <w:r>
        <w:rPr>
          <w:rStyle w:val="FootnoteReference"/>
        </w:rPr>
        <w:footnoteRef/>
      </w:r>
      <w:r>
        <w:t xml:space="preserve"> </w:t>
      </w:r>
      <w:r w:rsidRPr="001C6F38">
        <w:rPr>
          <w:rFonts w:ascii="Times New Roman" w:hAnsi="Times New Roman" w:cs="Times New Roman"/>
          <w:sz w:val="28"/>
          <w:szCs w:val="28"/>
        </w:rPr>
        <w:t>(AIR 1973 SC 1461)</w:t>
      </w:r>
    </w:p>
  </w:footnote>
  <w:footnote w:id="5">
    <w:p w14:paraId="31DA801A" w14:textId="16B90811" w:rsidR="00693BA4" w:rsidRPr="00693BA4" w:rsidRDefault="00693BA4">
      <w:pPr>
        <w:pStyle w:val="FootnoteText"/>
        <w:rPr>
          <w:b/>
          <w:bCs/>
        </w:rPr>
      </w:pPr>
      <w:r>
        <w:rPr>
          <w:rStyle w:val="FootnoteReference"/>
        </w:rPr>
        <w:footnoteRef/>
      </w:r>
      <w:r>
        <w:t xml:space="preserve"> </w:t>
      </w:r>
      <w:r w:rsidRPr="001C6F38">
        <w:rPr>
          <w:rFonts w:ascii="Times New Roman" w:hAnsi="Times New Roman" w:cs="Times New Roman"/>
          <w:sz w:val="28"/>
          <w:szCs w:val="28"/>
        </w:rPr>
        <w:t>(AIR 1950 SC 27)</w:t>
      </w:r>
    </w:p>
  </w:footnote>
  <w:footnote w:id="6">
    <w:p w14:paraId="4130549F" w14:textId="20BD7582" w:rsidR="00693BA4" w:rsidRDefault="00693BA4">
      <w:pPr>
        <w:pStyle w:val="FootnoteText"/>
      </w:pPr>
      <w:r>
        <w:rPr>
          <w:rStyle w:val="FootnoteReference"/>
        </w:rPr>
        <w:footnoteRef/>
      </w:r>
      <w:r>
        <w:t xml:space="preserve"> </w:t>
      </w:r>
      <w:r w:rsidRPr="001C6F38">
        <w:rPr>
          <w:rFonts w:ascii="Times New Roman" w:hAnsi="Times New Roman" w:cs="Times New Roman"/>
          <w:sz w:val="28"/>
          <w:szCs w:val="28"/>
        </w:rPr>
        <w:t>(1992) 4 SCC 506</w:t>
      </w:r>
    </w:p>
  </w:footnote>
  <w:footnote w:id="7">
    <w:p w14:paraId="53BEAEC9" w14:textId="5B50BA92" w:rsidR="00693BA4" w:rsidRDefault="00693BA4">
      <w:pPr>
        <w:pStyle w:val="FootnoteText"/>
      </w:pPr>
      <w:r>
        <w:rPr>
          <w:rStyle w:val="FootnoteReference"/>
        </w:rPr>
        <w:footnoteRef/>
      </w:r>
      <w:r>
        <w:t xml:space="preserve"> </w:t>
      </w:r>
      <w:r w:rsidRPr="001C6F38">
        <w:rPr>
          <w:rFonts w:ascii="Times New Roman" w:hAnsi="Times New Roman" w:cs="Times New Roman"/>
          <w:i/>
          <w:sz w:val="28"/>
          <w:szCs w:val="28"/>
        </w:rPr>
        <w:t xml:space="preserve"> </w:t>
      </w:r>
      <w:r w:rsidRPr="001C6F38">
        <w:rPr>
          <w:rFonts w:ascii="Times New Roman" w:hAnsi="Times New Roman" w:cs="Times New Roman"/>
          <w:sz w:val="28"/>
          <w:szCs w:val="28"/>
        </w:rPr>
        <w:t>(1998) 4 SCC 117</w:t>
      </w:r>
      <w:r>
        <w:rPr>
          <w:rFonts w:ascii="Times New Roman" w:hAnsi="Times New Roman" w:cs="Times New Roman"/>
          <w:sz w:val="28"/>
          <w:szCs w:val="28"/>
        </w:rPr>
        <w:t>.</w:t>
      </w:r>
    </w:p>
  </w:footnote>
  <w:footnote w:id="8">
    <w:p w14:paraId="205FD433" w14:textId="29E3F423" w:rsidR="00D5758A" w:rsidRDefault="00D5758A">
      <w:pPr>
        <w:pStyle w:val="FootnoteText"/>
      </w:pPr>
      <w:r>
        <w:rPr>
          <w:rStyle w:val="FootnoteReference"/>
        </w:rPr>
        <w:footnoteRef/>
      </w:r>
      <w:r>
        <w:t xml:space="preserve"> </w:t>
      </w:r>
      <w:r w:rsidRPr="001C6F38">
        <w:rPr>
          <w:rFonts w:ascii="Times New Roman" w:hAnsi="Times New Roman" w:cs="Times New Roman"/>
          <w:i/>
          <w:sz w:val="28"/>
          <w:szCs w:val="28"/>
        </w:rPr>
        <w:t xml:space="preserve"> </w:t>
      </w:r>
      <w:r w:rsidRPr="001C6F38">
        <w:rPr>
          <w:rFonts w:ascii="Times New Roman" w:hAnsi="Times New Roman" w:cs="Times New Roman"/>
          <w:sz w:val="28"/>
          <w:szCs w:val="28"/>
        </w:rPr>
        <w:t>(1995) 3 SCC 420]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619F6"/>
    <w:multiLevelType w:val="multilevel"/>
    <w:tmpl w:val="60D6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24D10"/>
    <w:multiLevelType w:val="hybridMultilevel"/>
    <w:tmpl w:val="DC2E5344"/>
    <w:lvl w:ilvl="0" w:tplc="57908F5A">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cs="Wingdings" w:hint="default"/>
      </w:rPr>
    </w:lvl>
    <w:lvl w:ilvl="3" w:tplc="40090001" w:tentative="1">
      <w:start w:val="1"/>
      <w:numFmt w:val="bullet"/>
      <w:lvlText w:val=""/>
      <w:lvlJc w:val="left"/>
      <w:pPr>
        <w:ind w:left="3240" w:hanging="360"/>
      </w:pPr>
      <w:rPr>
        <w:rFonts w:ascii="Symbol" w:hAnsi="Symbol" w:cs="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cs="Wingdings" w:hint="default"/>
      </w:rPr>
    </w:lvl>
    <w:lvl w:ilvl="6" w:tplc="40090001" w:tentative="1">
      <w:start w:val="1"/>
      <w:numFmt w:val="bullet"/>
      <w:lvlText w:val=""/>
      <w:lvlJc w:val="left"/>
      <w:pPr>
        <w:ind w:left="5400" w:hanging="360"/>
      </w:pPr>
      <w:rPr>
        <w:rFonts w:ascii="Symbol" w:hAnsi="Symbol" w:cs="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4F105DF9"/>
    <w:multiLevelType w:val="hybridMultilevel"/>
    <w:tmpl w:val="DB281780"/>
    <w:lvl w:ilvl="0" w:tplc="BDC83392">
      <w:numFmt w:val="bullet"/>
      <w:lvlText w:val=""/>
      <w:lvlJc w:val="left"/>
      <w:pPr>
        <w:ind w:left="720" w:hanging="360"/>
      </w:pPr>
      <w:rPr>
        <w:rFonts w:ascii="Symbol" w:eastAsiaTheme="minorHAnsi" w:hAnsi="Symbol"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cs="Wingdings" w:hint="default"/>
      </w:rPr>
    </w:lvl>
    <w:lvl w:ilvl="3" w:tplc="40090001" w:tentative="1">
      <w:start w:val="1"/>
      <w:numFmt w:val="bullet"/>
      <w:lvlText w:val=""/>
      <w:lvlJc w:val="left"/>
      <w:pPr>
        <w:ind w:left="2880" w:hanging="360"/>
      </w:pPr>
      <w:rPr>
        <w:rFonts w:ascii="Symbol" w:hAnsi="Symbol" w:cs="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cs="Wingdings" w:hint="default"/>
      </w:rPr>
    </w:lvl>
    <w:lvl w:ilvl="6" w:tplc="40090001" w:tentative="1">
      <w:start w:val="1"/>
      <w:numFmt w:val="bullet"/>
      <w:lvlText w:val=""/>
      <w:lvlJc w:val="left"/>
      <w:pPr>
        <w:ind w:left="5040" w:hanging="360"/>
      </w:pPr>
      <w:rPr>
        <w:rFonts w:ascii="Symbol" w:hAnsi="Symbol" w:cs="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4B"/>
    <w:rsid w:val="00043ED4"/>
    <w:rsid w:val="00052D4B"/>
    <w:rsid w:val="00064501"/>
    <w:rsid w:val="000F7A26"/>
    <w:rsid w:val="001137E8"/>
    <w:rsid w:val="00134CB1"/>
    <w:rsid w:val="001C6F38"/>
    <w:rsid w:val="001E2370"/>
    <w:rsid w:val="001E3923"/>
    <w:rsid w:val="00555A44"/>
    <w:rsid w:val="005B5409"/>
    <w:rsid w:val="00693BA4"/>
    <w:rsid w:val="007151B6"/>
    <w:rsid w:val="008B7685"/>
    <w:rsid w:val="009F1356"/>
    <w:rsid w:val="00A44475"/>
    <w:rsid w:val="00B072C0"/>
    <w:rsid w:val="00B33AB5"/>
    <w:rsid w:val="00B51DA2"/>
    <w:rsid w:val="00D5758A"/>
    <w:rsid w:val="00E608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2167"/>
  <w15:chartTrackingRefBased/>
  <w15:docId w15:val="{15463250-90A1-4DD6-9B78-5AA80EC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01"/>
    <w:pPr>
      <w:spacing w:after="200" w:line="276" w:lineRule="auto"/>
    </w:pPr>
    <w:rPr>
      <w:lang w:val="en-US"/>
    </w:rPr>
  </w:style>
  <w:style w:type="paragraph" w:styleId="Heading4">
    <w:name w:val="heading 4"/>
    <w:basedOn w:val="Normal"/>
    <w:link w:val="Heading4Char"/>
    <w:uiPriority w:val="9"/>
    <w:qFormat/>
    <w:rsid w:val="00D5758A"/>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1356"/>
    <w:rPr>
      <w:color w:val="0000FF"/>
      <w:u w:val="single"/>
    </w:rPr>
  </w:style>
  <w:style w:type="character" w:styleId="Strong">
    <w:name w:val="Strong"/>
    <w:basedOn w:val="DefaultParagraphFont"/>
    <w:uiPriority w:val="22"/>
    <w:qFormat/>
    <w:rsid w:val="009F1356"/>
    <w:rPr>
      <w:b/>
      <w:bCs/>
    </w:rPr>
  </w:style>
  <w:style w:type="paragraph" w:styleId="FootnoteText">
    <w:name w:val="footnote text"/>
    <w:basedOn w:val="Normal"/>
    <w:link w:val="FootnoteTextChar"/>
    <w:uiPriority w:val="99"/>
    <w:semiHidden/>
    <w:unhideWhenUsed/>
    <w:rsid w:val="001C6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F38"/>
    <w:rPr>
      <w:sz w:val="20"/>
      <w:szCs w:val="20"/>
      <w:lang w:val="en-US"/>
    </w:rPr>
  </w:style>
  <w:style w:type="character" w:styleId="FootnoteReference">
    <w:name w:val="footnote reference"/>
    <w:basedOn w:val="DefaultParagraphFont"/>
    <w:uiPriority w:val="99"/>
    <w:semiHidden/>
    <w:unhideWhenUsed/>
    <w:rsid w:val="001C6F38"/>
    <w:rPr>
      <w:vertAlign w:val="superscript"/>
    </w:rPr>
  </w:style>
  <w:style w:type="character" w:customStyle="1" w:styleId="Heading4Char">
    <w:name w:val="Heading 4 Char"/>
    <w:basedOn w:val="DefaultParagraphFont"/>
    <w:link w:val="Heading4"/>
    <w:uiPriority w:val="9"/>
    <w:rsid w:val="00D5758A"/>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1E39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3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810397">
      <w:bodyDiv w:val="1"/>
      <w:marLeft w:val="0"/>
      <w:marRight w:val="0"/>
      <w:marTop w:val="0"/>
      <w:marBottom w:val="0"/>
      <w:divBdr>
        <w:top w:val="none" w:sz="0" w:space="0" w:color="auto"/>
        <w:left w:val="none" w:sz="0" w:space="0" w:color="auto"/>
        <w:bottom w:val="none" w:sz="0" w:space="0" w:color="auto"/>
        <w:right w:val="none" w:sz="0" w:space="0" w:color="auto"/>
      </w:divBdr>
    </w:div>
    <w:div w:id="546183877">
      <w:bodyDiv w:val="1"/>
      <w:marLeft w:val="0"/>
      <w:marRight w:val="0"/>
      <w:marTop w:val="0"/>
      <w:marBottom w:val="0"/>
      <w:divBdr>
        <w:top w:val="none" w:sz="0" w:space="0" w:color="auto"/>
        <w:left w:val="none" w:sz="0" w:space="0" w:color="auto"/>
        <w:bottom w:val="none" w:sz="0" w:space="0" w:color="auto"/>
        <w:right w:val="none" w:sz="0" w:space="0" w:color="auto"/>
      </w:divBdr>
    </w:div>
    <w:div w:id="8198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serviceindia.com/calendars-causelists/caus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alserviceindia.com/calendars-causelists/caus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FC672-23AF-4F51-810D-30C44862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Swarnim Ghatani</dc:creator>
  <cp:keywords/>
  <dc:description/>
  <cp:lastModifiedBy>Swarnim Ghatani</cp:lastModifiedBy>
  <cp:revision>13</cp:revision>
  <dcterms:created xsi:type="dcterms:W3CDTF">2020-05-12T17:52:00Z</dcterms:created>
  <dcterms:modified xsi:type="dcterms:W3CDTF">2021-02-21T14:55:00Z</dcterms:modified>
</cp:coreProperties>
</file>