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color w:val="c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4"/>
          <w:szCs w:val="24"/>
          <w:rtl w:val="0"/>
        </w:rPr>
        <w:t xml:space="preserve">INDIAN INSTITUTE OF LEGAL STUDIES COOCHBEHAR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 YEARS B.A. LL.B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SEMESTER-VII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SUBJECT: INTERNATIONAL LABOUR ORGANISATION AND LABOUR LAWS</w:t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OF TEST: 17.05.2025</w:t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FULL MARKS: 100</w:t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 STUDENTS PRESENT IN THE TEST: 00</w:t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 NUMBER OF STUDENTS:06</w:t>
      </w:r>
    </w:p>
    <w:tbl>
      <w:tblPr>
        <w:tblStyle w:val="Table1"/>
        <w:tblW w:w="820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3"/>
        <w:gridCol w:w="3685"/>
        <w:gridCol w:w="3420"/>
        <w:tblGridChange w:id="0">
          <w:tblGrid>
            <w:gridCol w:w="1103"/>
            <w:gridCol w:w="3685"/>
            <w:gridCol w:w="34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NO.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 </w:t>
            </w:r>
          </w:p>
        </w:tc>
      </w:tr>
      <w:tr>
        <w:trPr>
          <w:cantSplit w:val="0"/>
          <w:trHeight w:val="243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Arijit Roy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Debanjali Barman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Ramjan Ali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Beauti Barman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Bikram Barman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Prince Ghosh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</w:tbl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038" w:top="1060" w:left="1021" w:right="998" w:header="0" w:footer="8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