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FE" w:rsidRDefault="00175EA0" w:rsidP="00175EA0">
      <w:pPr>
        <w:pStyle w:val="Heading1"/>
        <w:spacing w:before="55"/>
        <w:ind w:right="1040"/>
      </w:pPr>
      <w:r>
        <w:t xml:space="preserve">INFORMATION </w:t>
      </w:r>
      <w:r w:rsidR="00E047E6">
        <w:t>TECHNOLOGY ACT 2000</w:t>
      </w:r>
    </w:p>
    <w:p w:rsidR="00175EA0" w:rsidRDefault="00175EA0" w:rsidP="00175EA0">
      <w:pPr>
        <w:pStyle w:val="Heading1"/>
        <w:spacing w:before="55"/>
        <w:ind w:right="1040"/>
        <w:jc w:val="center"/>
      </w:pPr>
      <w:r>
        <w:t>OVERVIEW</w:t>
      </w:r>
    </w:p>
    <w:p w:rsidR="00F22FB9" w:rsidRDefault="00F22FB9" w:rsidP="00F22FB9">
      <w:pPr>
        <w:pStyle w:val="Heading1"/>
        <w:spacing w:before="55"/>
        <w:ind w:right="1040"/>
        <w:jc w:val="both"/>
      </w:pPr>
    </w:p>
    <w:p w:rsidR="00F22FB9" w:rsidRDefault="00F22FB9" w:rsidP="00F22FB9">
      <w:pPr>
        <w:pStyle w:val="Heading2"/>
        <w:tabs>
          <w:tab w:val="left" w:pos="3235"/>
        </w:tabs>
        <w:ind w:left="3234" w:right="120"/>
        <w:jc w:val="left"/>
      </w:pPr>
      <w:r>
        <w:t>OFFFENCES AND</w:t>
      </w:r>
      <w:r w:rsidRPr="00F22FB9">
        <w:rPr>
          <w:spacing w:val="48"/>
        </w:rPr>
        <w:t xml:space="preserve"> </w:t>
      </w:r>
      <w:r>
        <w:t>PENALITIES</w:t>
      </w:r>
    </w:p>
    <w:p w:rsidR="00F22FB9" w:rsidRDefault="00F22FB9" w:rsidP="00F22FB9">
      <w:pPr>
        <w:pStyle w:val="BodyText"/>
        <w:ind w:left="140" w:right="257" w:firstLine="719"/>
        <w:jc w:val="both"/>
      </w:pPr>
      <w:r>
        <w:t xml:space="preserve">Section 65 to Section 74 describes for offences and prescribes penalties for the offences. To  understand each of them, they are arranged in tabular form in Table 2. As per Section </w:t>
      </w:r>
      <w:r>
        <w:rPr>
          <w:spacing w:val="3"/>
        </w:rPr>
        <w:t xml:space="preserve">77-B </w:t>
      </w:r>
      <w:r>
        <w:t xml:space="preserve">of the Act, the offences punishable with imprisonment of three years and </w:t>
      </w:r>
      <w:r>
        <w:rPr>
          <w:spacing w:val="2"/>
        </w:rPr>
        <w:t xml:space="preserve">above </w:t>
      </w:r>
      <w:r>
        <w:t>shall be Cognizable. The offences punishable with imprisonment of three years shall be Bailable. After the amendment of 2008, the power to investigate the offence under this Act is with a Police Officer not below the rank of Inspector as per Section 78 of he</w:t>
      </w:r>
      <w:r>
        <w:rPr>
          <w:spacing w:val="-14"/>
        </w:rPr>
        <w:t xml:space="preserve"> </w:t>
      </w:r>
      <w:r>
        <w:t>Act.</w:t>
      </w:r>
    </w:p>
    <w:p w:rsidR="00F22FB9" w:rsidRDefault="00F22FB9" w:rsidP="00F22FB9">
      <w:pPr>
        <w:pStyle w:val="BodyText"/>
        <w:spacing w:before="10"/>
        <w:rPr>
          <w:sz w:val="19"/>
        </w:rPr>
      </w:pPr>
    </w:p>
    <w:p w:rsidR="00F22FB9" w:rsidRDefault="00F22FB9" w:rsidP="00F22FB9">
      <w:pPr>
        <w:rPr>
          <w:rFonts w:ascii="Carlito"/>
          <w:sz w:val="16"/>
        </w:rPr>
        <w:sectPr w:rsidR="00F22FB9" w:rsidSect="00F22FB9">
          <w:headerReference w:type="default" r:id="rId7"/>
          <w:type w:val="continuous"/>
          <w:pgSz w:w="11910" w:h="16840"/>
          <w:pgMar w:top="1340" w:right="1180" w:bottom="280" w:left="1300" w:header="720" w:footer="720" w:gutter="0"/>
          <w:cols w:space="720"/>
        </w:sectPr>
      </w:pPr>
    </w:p>
    <w:tbl>
      <w:tblPr>
        <w:tblW w:w="0" w:type="auto"/>
        <w:tblInd w:w="137" w:type="dxa"/>
        <w:tblLayout w:type="fixed"/>
        <w:tblCellMar>
          <w:left w:w="0" w:type="dxa"/>
          <w:right w:w="0" w:type="dxa"/>
        </w:tblCellMar>
        <w:tblLook w:val="01E0"/>
      </w:tblPr>
      <w:tblGrid>
        <w:gridCol w:w="1286"/>
        <w:gridCol w:w="3083"/>
        <w:gridCol w:w="2614"/>
        <w:gridCol w:w="2155"/>
      </w:tblGrid>
      <w:tr w:rsidR="00F22FB9" w:rsidTr="006F0DEB">
        <w:trPr>
          <w:trHeight w:val="670"/>
        </w:trPr>
        <w:tc>
          <w:tcPr>
            <w:tcW w:w="1286" w:type="dxa"/>
          </w:tcPr>
          <w:p w:rsidR="00F22FB9" w:rsidRDefault="00F22FB9" w:rsidP="006F0DEB">
            <w:pPr>
              <w:pStyle w:val="TableParagraph"/>
              <w:spacing w:before="3"/>
              <w:ind w:left="0"/>
              <w:rPr>
                <w:rFonts w:ascii="Carlito"/>
                <w:sz w:val="16"/>
              </w:rPr>
            </w:pPr>
          </w:p>
          <w:p w:rsidR="00F22FB9" w:rsidRDefault="00F22FB9" w:rsidP="006F0DEB">
            <w:pPr>
              <w:pStyle w:val="TableParagraph"/>
              <w:ind w:left="177" w:right="110"/>
              <w:jc w:val="center"/>
              <w:rPr>
                <w:sz w:val="18"/>
              </w:rPr>
            </w:pPr>
            <w:r>
              <w:rPr>
                <w:sz w:val="18"/>
              </w:rPr>
              <w:t>Section 65</w:t>
            </w:r>
          </w:p>
        </w:tc>
        <w:tc>
          <w:tcPr>
            <w:tcW w:w="3083" w:type="dxa"/>
          </w:tcPr>
          <w:p w:rsidR="00F22FB9" w:rsidRDefault="00F22FB9" w:rsidP="006F0DEB">
            <w:pPr>
              <w:pStyle w:val="TableParagraph"/>
              <w:spacing w:before="3"/>
              <w:ind w:left="0"/>
              <w:rPr>
                <w:rFonts w:ascii="Carlito"/>
                <w:sz w:val="16"/>
              </w:rPr>
            </w:pPr>
          </w:p>
          <w:p w:rsidR="00F22FB9" w:rsidRDefault="00F22FB9" w:rsidP="006F0DEB">
            <w:pPr>
              <w:pStyle w:val="TableParagraph"/>
              <w:ind w:left="108" w:right="45"/>
              <w:jc w:val="center"/>
              <w:rPr>
                <w:sz w:val="18"/>
              </w:rPr>
            </w:pPr>
            <w:r>
              <w:rPr>
                <w:sz w:val="18"/>
              </w:rPr>
              <w:t>Tampering with Computer Source Code</w:t>
            </w:r>
          </w:p>
        </w:tc>
        <w:tc>
          <w:tcPr>
            <w:tcW w:w="2614" w:type="dxa"/>
          </w:tcPr>
          <w:p w:rsidR="00F22FB9" w:rsidRDefault="00F22FB9" w:rsidP="006F0DEB">
            <w:pPr>
              <w:pStyle w:val="TableParagraph"/>
              <w:spacing w:before="95"/>
              <w:ind w:left="715" w:right="78" w:hanging="654"/>
              <w:rPr>
                <w:sz w:val="18"/>
              </w:rPr>
            </w:pPr>
            <w:r>
              <w:rPr>
                <w:sz w:val="18"/>
              </w:rPr>
              <w:t>Imprisonment upto 3 years or fine upto Rs. 2 lacks</w:t>
            </w:r>
          </w:p>
        </w:tc>
        <w:tc>
          <w:tcPr>
            <w:tcW w:w="2155" w:type="dxa"/>
          </w:tcPr>
          <w:p w:rsidR="00F22FB9" w:rsidRDefault="00F22FB9" w:rsidP="006F0DEB">
            <w:pPr>
              <w:pStyle w:val="TableParagraph"/>
              <w:ind w:left="101" w:right="197"/>
              <w:jc w:val="center"/>
              <w:rPr>
                <w:sz w:val="18"/>
              </w:rPr>
            </w:pPr>
            <w:r>
              <w:rPr>
                <w:sz w:val="18"/>
              </w:rPr>
              <w:t>Offence is Bailable, Cognizable and triable by Court of JMFC.</w:t>
            </w:r>
          </w:p>
        </w:tc>
      </w:tr>
      <w:tr w:rsidR="00F22FB9" w:rsidTr="006F0DEB">
        <w:trPr>
          <w:trHeight w:val="732"/>
        </w:trPr>
        <w:tc>
          <w:tcPr>
            <w:tcW w:w="1286" w:type="dxa"/>
          </w:tcPr>
          <w:p w:rsidR="00F22FB9" w:rsidRDefault="00F22FB9" w:rsidP="006F0DEB">
            <w:pPr>
              <w:pStyle w:val="TableParagraph"/>
              <w:spacing w:before="3"/>
              <w:ind w:left="0"/>
              <w:rPr>
                <w:rFonts w:ascii="Carlito"/>
                <w:sz w:val="21"/>
              </w:rPr>
            </w:pPr>
          </w:p>
          <w:p w:rsidR="00F22FB9" w:rsidRDefault="00F22FB9" w:rsidP="006F0DEB">
            <w:pPr>
              <w:pStyle w:val="TableParagraph"/>
              <w:ind w:left="177" w:right="110"/>
              <w:jc w:val="center"/>
              <w:rPr>
                <w:sz w:val="18"/>
              </w:rPr>
            </w:pPr>
            <w:r>
              <w:rPr>
                <w:sz w:val="18"/>
              </w:rPr>
              <w:t>Section 66</w:t>
            </w:r>
          </w:p>
        </w:tc>
        <w:tc>
          <w:tcPr>
            <w:tcW w:w="3083" w:type="dxa"/>
          </w:tcPr>
          <w:p w:rsidR="00F22FB9" w:rsidRDefault="00F22FB9" w:rsidP="006F0DEB">
            <w:pPr>
              <w:pStyle w:val="TableParagraph"/>
              <w:spacing w:before="3"/>
              <w:ind w:left="0"/>
              <w:rPr>
                <w:rFonts w:ascii="Carlito"/>
                <w:sz w:val="21"/>
              </w:rPr>
            </w:pPr>
          </w:p>
          <w:p w:rsidR="00F22FB9" w:rsidRDefault="00F22FB9" w:rsidP="006F0DEB">
            <w:pPr>
              <w:pStyle w:val="TableParagraph"/>
              <w:ind w:right="45"/>
              <w:jc w:val="center"/>
              <w:rPr>
                <w:sz w:val="18"/>
              </w:rPr>
            </w:pPr>
            <w:r>
              <w:rPr>
                <w:sz w:val="18"/>
              </w:rPr>
              <w:t>Computer Related Offences</w:t>
            </w:r>
          </w:p>
        </w:tc>
        <w:tc>
          <w:tcPr>
            <w:tcW w:w="2614" w:type="dxa"/>
          </w:tcPr>
          <w:p w:rsidR="00F22FB9" w:rsidRDefault="00F22FB9" w:rsidP="006F0DEB">
            <w:pPr>
              <w:pStyle w:val="TableParagraph"/>
              <w:spacing w:before="156"/>
              <w:ind w:left="715" w:right="78" w:hanging="654"/>
              <w:rPr>
                <w:sz w:val="18"/>
              </w:rPr>
            </w:pPr>
            <w:r>
              <w:rPr>
                <w:sz w:val="18"/>
              </w:rPr>
              <w:t>Imprisonment upto 3 years or fine upto Rs. 5 lacks</w:t>
            </w:r>
          </w:p>
        </w:tc>
        <w:tc>
          <w:tcPr>
            <w:tcW w:w="2155" w:type="dxa"/>
          </w:tcPr>
          <w:p w:rsidR="00F22FB9" w:rsidRDefault="00F22FB9" w:rsidP="006F0DEB">
            <w:pPr>
              <w:pStyle w:val="TableParagraph"/>
              <w:spacing w:before="51"/>
              <w:ind w:left="101" w:right="197"/>
              <w:jc w:val="center"/>
              <w:rPr>
                <w:sz w:val="18"/>
              </w:rPr>
            </w:pPr>
            <w:r>
              <w:rPr>
                <w:sz w:val="18"/>
              </w:rPr>
              <w:t>Offence is Bailable, Cognizable and triable by Court of JMFC</w:t>
            </w:r>
          </w:p>
        </w:tc>
      </w:tr>
      <w:tr w:rsidR="00F22FB9" w:rsidTr="006F0DEB">
        <w:trPr>
          <w:trHeight w:val="731"/>
        </w:trPr>
        <w:tc>
          <w:tcPr>
            <w:tcW w:w="1286" w:type="dxa"/>
          </w:tcPr>
          <w:p w:rsidR="00F22FB9" w:rsidRDefault="00F22FB9" w:rsidP="006F0DEB">
            <w:pPr>
              <w:pStyle w:val="TableParagraph"/>
              <w:spacing w:before="1"/>
              <w:ind w:left="0"/>
              <w:rPr>
                <w:rFonts w:ascii="Carlito"/>
                <w:sz w:val="21"/>
              </w:rPr>
            </w:pPr>
          </w:p>
          <w:p w:rsidR="00F22FB9" w:rsidRDefault="00F22FB9" w:rsidP="006F0DEB">
            <w:pPr>
              <w:pStyle w:val="TableParagraph"/>
              <w:ind w:left="181" w:right="110"/>
              <w:jc w:val="center"/>
              <w:rPr>
                <w:sz w:val="18"/>
              </w:rPr>
            </w:pPr>
            <w:r>
              <w:rPr>
                <w:sz w:val="18"/>
              </w:rPr>
              <w:t>Section 66-A</w:t>
            </w:r>
          </w:p>
        </w:tc>
        <w:tc>
          <w:tcPr>
            <w:tcW w:w="3083" w:type="dxa"/>
          </w:tcPr>
          <w:p w:rsidR="00F22FB9" w:rsidRDefault="00F22FB9" w:rsidP="006F0DEB">
            <w:pPr>
              <w:pStyle w:val="TableParagraph"/>
              <w:spacing w:before="154"/>
              <w:ind w:left="497" w:right="174" w:hanging="243"/>
              <w:rPr>
                <w:sz w:val="18"/>
              </w:rPr>
            </w:pPr>
            <w:r>
              <w:rPr>
                <w:sz w:val="18"/>
              </w:rPr>
              <w:t>Sending offensive messages through Communication service, etc...</w:t>
            </w:r>
          </w:p>
        </w:tc>
        <w:tc>
          <w:tcPr>
            <w:tcW w:w="2614" w:type="dxa"/>
          </w:tcPr>
          <w:p w:rsidR="00F22FB9" w:rsidRDefault="00F22FB9" w:rsidP="006F0DEB">
            <w:pPr>
              <w:pStyle w:val="TableParagraph"/>
              <w:spacing w:before="154"/>
              <w:ind w:left="1150" w:right="78" w:hanging="980"/>
              <w:rPr>
                <w:sz w:val="18"/>
              </w:rPr>
            </w:pPr>
            <w:r>
              <w:rPr>
                <w:sz w:val="18"/>
              </w:rPr>
              <w:t>Imprisonment upto 3 years and fine</w:t>
            </w:r>
          </w:p>
        </w:tc>
        <w:tc>
          <w:tcPr>
            <w:tcW w:w="2155" w:type="dxa"/>
          </w:tcPr>
          <w:p w:rsidR="00F22FB9" w:rsidRDefault="00F22FB9" w:rsidP="006F0DEB">
            <w:pPr>
              <w:pStyle w:val="TableParagraph"/>
              <w:spacing w:before="51"/>
              <w:ind w:left="101" w:right="197"/>
              <w:jc w:val="center"/>
              <w:rPr>
                <w:sz w:val="18"/>
              </w:rPr>
            </w:pPr>
            <w:r>
              <w:rPr>
                <w:sz w:val="18"/>
              </w:rPr>
              <w:t>Offence is Bailable, Cognizable and triable by Court of JMFC</w:t>
            </w:r>
          </w:p>
        </w:tc>
      </w:tr>
      <w:tr w:rsidR="00F22FB9" w:rsidTr="006F0DEB">
        <w:trPr>
          <w:trHeight w:val="729"/>
        </w:trPr>
        <w:tc>
          <w:tcPr>
            <w:tcW w:w="1286" w:type="dxa"/>
          </w:tcPr>
          <w:p w:rsidR="00F22FB9" w:rsidRDefault="00F22FB9" w:rsidP="006F0DEB">
            <w:pPr>
              <w:pStyle w:val="TableParagraph"/>
              <w:spacing w:before="1"/>
              <w:ind w:left="0"/>
              <w:rPr>
                <w:rFonts w:ascii="Carlito"/>
                <w:sz w:val="21"/>
              </w:rPr>
            </w:pPr>
          </w:p>
          <w:p w:rsidR="00F22FB9" w:rsidRDefault="00F22FB9" w:rsidP="006F0DEB">
            <w:pPr>
              <w:pStyle w:val="TableParagraph"/>
              <w:ind w:left="181" w:right="110"/>
              <w:jc w:val="center"/>
              <w:rPr>
                <w:sz w:val="18"/>
              </w:rPr>
            </w:pPr>
            <w:r>
              <w:rPr>
                <w:sz w:val="18"/>
              </w:rPr>
              <w:t>Section 66-B</w:t>
            </w:r>
          </w:p>
        </w:tc>
        <w:tc>
          <w:tcPr>
            <w:tcW w:w="3083" w:type="dxa"/>
          </w:tcPr>
          <w:p w:rsidR="00F22FB9" w:rsidRDefault="00F22FB9" w:rsidP="006F0DEB">
            <w:pPr>
              <w:pStyle w:val="TableParagraph"/>
              <w:spacing w:before="154"/>
              <w:ind w:left="332" w:right="103" w:hanging="147"/>
              <w:rPr>
                <w:sz w:val="18"/>
              </w:rPr>
            </w:pPr>
            <w:r>
              <w:rPr>
                <w:sz w:val="18"/>
              </w:rPr>
              <w:t>Dishonestly receiving stolen computer resource or communication device</w:t>
            </w:r>
          </w:p>
        </w:tc>
        <w:tc>
          <w:tcPr>
            <w:tcW w:w="2614" w:type="dxa"/>
          </w:tcPr>
          <w:p w:rsidR="00F22FB9" w:rsidRDefault="00F22FB9" w:rsidP="006F0DEB">
            <w:pPr>
              <w:pStyle w:val="TableParagraph"/>
              <w:spacing w:before="154"/>
              <w:ind w:left="581" w:right="85" w:hanging="512"/>
              <w:rPr>
                <w:sz w:val="18"/>
              </w:rPr>
            </w:pPr>
            <w:r>
              <w:rPr>
                <w:sz w:val="18"/>
              </w:rPr>
              <w:t>Imprisonment upto 3 years and/or fine upto Rs. 1 lakh</w:t>
            </w:r>
          </w:p>
        </w:tc>
        <w:tc>
          <w:tcPr>
            <w:tcW w:w="2155" w:type="dxa"/>
          </w:tcPr>
          <w:p w:rsidR="00F22FB9" w:rsidRDefault="00F22FB9" w:rsidP="006F0DEB">
            <w:pPr>
              <w:pStyle w:val="TableParagraph"/>
              <w:spacing w:before="51"/>
              <w:ind w:left="101" w:right="197"/>
              <w:jc w:val="center"/>
              <w:rPr>
                <w:sz w:val="18"/>
              </w:rPr>
            </w:pPr>
            <w:r>
              <w:rPr>
                <w:sz w:val="18"/>
              </w:rPr>
              <w:t>Offence is Bailable, Cognizable and triable by Court of JMFC</w:t>
            </w:r>
          </w:p>
        </w:tc>
      </w:tr>
      <w:tr w:rsidR="00F22FB9" w:rsidTr="006F0DEB">
        <w:trPr>
          <w:trHeight w:val="732"/>
        </w:trPr>
        <w:tc>
          <w:tcPr>
            <w:tcW w:w="1286" w:type="dxa"/>
          </w:tcPr>
          <w:p w:rsidR="00F22FB9" w:rsidRDefault="00F22FB9" w:rsidP="006F0DEB">
            <w:pPr>
              <w:pStyle w:val="TableParagraph"/>
              <w:spacing w:before="1"/>
              <w:ind w:left="0"/>
              <w:rPr>
                <w:rFonts w:ascii="Carlito"/>
                <w:sz w:val="21"/>
              </w:rPr>
            </w:pPr>
          </w:p>
          <w:p w:rsidR="00F22FB9" w:rsidRDefault="00F22FB9" w:rsidP="006F0DEB">
            <w:pPr>
              <w:pStyle w:val="TableParagraph"/>
              <w:ind w:left="181" w:right="110"/>
              <w:jc w:val="center"/>
              <w:rPr>
                <w:sz w:val="18"/>
              </w:rPr>
            </w:pPr>
            <w:r>
              <w:rPr>
                <w:sz w:val="18"/>
              </w:rPr>
              <w:t>Section 66-C</w:t>
            </w:r>
          </w:p>
        </w:tc>
        <w:tc>
          <w:tcPr>
            <w:tcW w:w="3083" w:type="dxa"/>
          </w:tcPr>
          <w:p w:rsidR="00F22FB9" w:rsidRDefault="00F22FB9" w:rsidP="006F0DEB">
            <w:pPr>
              <w:pStyle w:val="TableParagraph"/>
              <w:spacing w:before="1"/>
              <w:ind w:left="0"/>
              <w:rPr>
                <w:rFonts w:ascii="Carlito"/>
                <w:sz w:val="21"/>
              </w:rPr>
            </w:pPr>
          </w:p>
          <w:p w:rsidR="00F22FB9" w:rsidRDefault="00F22FB9" w:rsidP="006F0DEB">
            <w:pPr>
              <w:pStyle w:val="TableParagraph"/>
              <w:ind w:right="45"/>
              <w:jc w:val="center"/>
              <w:rPr>
                <w:sz w:val="18"/>
              </w:rPr>
            </w:pPr>
            <w:r>
              <w:rPr>
                <w:sz w:val="18"/>
              </w:rPr>
              <w:t>Identity Theft</w:t>
            </w:r>
          </w:p>
        </w:tc>
        <w:tc>
          <w:tcPr>
            <w:tcW w:w="2614" w:type="dxa"/>
          </w:tcPr>
          <w:p w:rsidR="00F22FB9" w:rsidRDefault="00F22FB9" w:rsidP="006F0DEB">
            <w:pPr>
              <w:pStyle w:val="TableParagraph"/>
              <w:spacing w:before="51"/>
              <w:ind w:left="173" w:right="209" w:firstLine="3"/>
              <w:jc w:val="center"/>
              <w:rPr>
                <w:sz w:val="18"/>
              </w:rPr>
            </w:pPr>
            <w:r>
              <w:rPr>
                <w:sz w:val="18"/>
              </w:rPr>
              <w:t>Imprisonment of either description upto 3 years and/or fine upt Rs. 1 lakh</w:t>
            </w:r>
          </w:p>
        </w:tc>
        <w:tc>
          <w:tcPr>
            <w:tcW w:w="2155" w:type="dxa"/>
          </w:tcPr>
          <w:p w:rsidR="00F22FB9" w:rsidRDefault="00F22FB9" w:rsidP="006F0DEB">
            <w:pPr>
              <w:pStyle w:val="TableParagraph"/>
              <w:spacing w:before="51"/>
              <w:ind w:left="101" w:right="197"/>
              <w:jc w:val="center"/>
              <w:rPr>
                <w:sz w:val="18"/>
              </w:rPr>
            </w:pPr>
            <w:r>
              <w:rPr>
                <w:sz w:val="18"/>
              </w:rPr>
              <w:t>Offence is Bailable, Cognizable and triable by Court of JMFC</w:t>
            </w:r>
          </w:p>
        </w:tc>
      </w:tr>
      <w:tr w:rsidR="00F22FB9" w:rsidTr="006F0DEB">
        <w:trPr>
          <w:trHeight w:val="729"/>
        </w:trPr>
        <w:tc>
          <w:tcPr>
            <w:tcW w:w="1286" w:type="dxa"/>
          </w:tcPr>
          <w:p w:rsidR="00F22FB9" w:rsidRDefault="00F22FB9" w:rsidP="006F0DEB">
            <w:pPr>
              <w:pStyle w:val="TableParagraph"/>
              <w:spacing w:before="1"/>
              <w:ind w:left="0"/>
              <w:rPr>
                <w:rFonts w:ascii="Carlito"/>
                <w:sz w:val="21"/>
              </w:rPr>
            </w:pPr>
          </w:p>
          <w:p w:rsidR="00F22FB9" w:rsidRDefault="00F22FB9" w:rsidP="006F0DEB">
            <w:pPr>
              <w:pStyle w:val="TableParagraph"/>
              <w:ind w:left="181" w:right="110"/>
              <w:jc w:val="center"/>
              <w:rPr>
                <w:sz w:val="18"/>
              </w:rPr>
            </w:pPr>
            <w:r>
              <w:rPr>
                <w:sz w:val="18"/>
              </w:rPr>
              <w:t>Section 66-D</w:t>
            </w:r>
          </w:p>
        </w:tc>
        <w:tc>
          <w:tcPr>
            <w:tcW w:w="3083" w:type="dxa"/>
          </w:tcPr>
          <w:p w:rsidR="00F22FB9" w:rsidRDefault="00F22FB9" w:rsidP="006F0DEB">
            <w:pPr>
              <w:pStyle w:val="TableParagraph"/>
              <w:spacing w:before="154"/>
              <w:ind w:left="905" w:right="276" w:hanging="548"/>
              <w:rPr>
                <w:sz w:val="18"/>
              </w:rPr>
            </w:pPr>
            <w:r>
              <w:rPr>
                <w:sz w:val="18"/>
              </w:rPr>
              <w:t>Cheating by Personation by using computer resource</w:t>
            </w:r>
          </w:p>
        </w:tc>
        <w:tc>
          <w:tcPr>
            <w:tcW w:w="2614" w:type="dxa"/>
          </w:tcPr>
          <w:p w:rsidR="00F22FB9" w:rsidRDefault="00F22FB9" w:rsidP="006F0DEB">
            <w:pPr>
              <w:pStyle w:val="TableParagraph"/>
              <w:spacing w:before="51"/>
              <w:ind w:left="151" w:right="185" w:firstLine="1"/>
              <w:jc w:val="center"/>
              <w:rPr>
                <w:sz w:val="18"/>
              </w:rPr>
            </w:pPr>
            <w:r>
              <w:rPr>
                <w:sz w:val="18"/>
              </w:rPr>
              <w:t>Imprisonment of either description upto 3 years and /or fine upto Rs. 1 lakh</w:t>
            </w:r>
          </w:p>
        </w:tc>
        <w:tc>
          <w:tcPr>
            <w:tcW w:w="2155" w:type="dxa"/>
          </w:tcPr>
          <w:p w:rsidR="00F22FB9" w:rsidRDefault="00F22FB9" w:rsidP="006F0DEB">
            <w:pPr>
              <w:pStyle w:val="TableParagraph"/>
              <w:spacing w:before="51"/>
              <w:ind w:left="101" w:right="197"/>
              <w:jc w:val="center"/>
              <w:rPr>
                <w:sz w:val="18"/>
              </w:rPr>
            </w:pPr>
            <w:r>
              <w:rPr>
                <w:sz w:val="18"/>
              </w:rPr>
              <w:t>Offence is Bailable, Cognizable and triable by Court of JMFC</w:t>
            </w:r>
          </w:p>
        </w:tc>
      </w:tr>
      <w:tr w:rsidR="00F22FB9" w:rsidTr="006F0DEB">
        <w:trPr>
          <w:trHeight w:val="732"/>
        </w:trPr>
        <w:tc>
          <w:tcPr>
            <w:tcW w:w="1286" w:type="dxa"/>
          </w:tcPr>
          <w:p w:rsidR="00F22FB9" w:rsidRDefault="00F22FB9" w:rsidP="006F0DEB">
            <w:pPr>
              <w:pStyle w:val="TableParagraph"/>
              <w:spacing w:before="3"/>
              <w:ind w:left="0"/>
              <w:rPr>
                <w:rFonts w:ascii="Carlito"/>
                <w:sz w:val="21"/>
              </w:rPr>
            </w:pPr>
          </w:p>
          <w:p w:rsidR="00F22FB9" w:rsidRDefault="00F22FB9" w:rsidP="006F0DEB">
            <w:pPr>
              <w:pStyle w:val="TableParagraph"/>
              <w:ind w:left="181" w:right="110"/>
              <w:jc w:val="center"/>
              <w:rPr>
                <w:sz w:val="18"/>
              </w:rPr>
            </w:pPr>
            <w:r>
              <w:rPr>
                <w:sz w:val="18"/>
              </w:rPr>
              <w:t>Section 66-E</w:t>
            </w:r>
          </w:p>
        </w:tc>
        <w:tc>
          <w:tcPr>
            <w:tcW w:w="3083" w:type="dxa"/>
          </w:tcPr>
          <w:p w:rsidR="00F22FB9" w:rsidRDefault="00F22FB9" w:rsidP="006F0DEB">
            <w:pPr>
              <w:pStyle w:val="TableParagraph"/>
              <w:spacing w:before="3"/>
              <w:ind w:left="0"/>
              <w:rPr>
                <w:rFonts w:ascii="Carlito"/>
                <w:sz w:val="21"/>
              </w:rPr>
            </w:pPr>
          </w:p>
          <w:p w:rsidR="00F22FB9" w:rsidRDefault="00F22FB9" w:rsidP="006F0DEB">
            <w:pPr>
              <w:pStyle w:val="TableParagraph"/>
              <w:ind w:left="108" w:right="45"/>
              <w:jc w:val="center"/>
              <w:rPr>
                <w:sz w:val="18"/>
              </w:rPr>
            </w:pPr>
            <w:r>
              <w:rPr>
                <w:sz w:val="18"/>
              </w:rPr>
              <w:t>Violation of Privacy</w:t>
            </w:r>
          </w:p>
        </w:tc>
        <w:tc>
          <w:tcPr>
            <w:tcW w:w="2614" w:type="dxa"/>
          </w:tcPr>
          <w:p w:rsidR="00F22FB9" w:rsidRDefault="00F22FB9" w:rsidP="006F0DEB">
            <w:pPr>
              <w:pStyle w:val="TableParagraph"/>
              <w:spacing w:before="154"/>
              <w:ind w:left="66" w:right="100"/>
              <w:jc w:val="center"/>
              <w:rPr>
                <w:sz w:val="18"/>
              </w:rPr>
            </w:pPr>
            <w:r>
              <w:rPr>
                <w:sz w:val="18"/>
              </w:rPr>
              <w:t>Imprisonment upto 3 years and</w:t>
            </w:r>
          </w:p>
          <w:p w:rsidR="00F22FB9" w:rsidRDefault="00F22FB9" w:rsidP="006F0DEB">
            <w:pPr>
              <w:pStyle w:val="TableParagraph"/>
              <w:spacing w:before="2"/>
              <w:ind w:left="65" w:right="100"/>
              <w:jc w:val="center"/>
              <w:rPr>
                <w:sz w:val="18"/>
              </w:rPr>
            </w:pPr>
            <w:r>
              <w:rPr>
                <w:sz w:val="18"/>
              </w:rPr>
              <w:t>/or fine upto Rs. 2 lakh</w:t>
            </w:r>
          </w:p>
        </w:tc>
        <w:tc>
          <w:tcPr>
            <w:tcW w:w="2155" w:type="dxa"/>
          </w:tcPr>
          <w:p w:rsidR="00F22FB9" w:rsidRDefault="00F22FB9" w:rsidP="006F0DEB">
            <w:pPr>
              <w:pStyle w:val="TableParagraph"/>
              <w:spacing w:before="51"/>
              <w:ind w:left="101" w:right="197"/>
              <w:jc w:val="center"/>
              <w:rPr>
                <w:sz w:val="18"/>
              </w:rPr>
            </w:pPr>
            <w:r>
              <w:rPr>
                <w:sz w:val="18"/>
              </w:rPr>
              <w:t>Offence is Bailable, Cognizable and triable by Court of JMFC</w:t>
            </w:r>
          </w:p>
        </w:tc>
      </w:tr>
      <w:tr w:rsidR="00F22FB9" w:rsidTr="006F0DEB">
        <w:trPr>
          <w:trHeight w:val="729"/>
        </w:trPr>
        <w:tc>
          <w:tcPr>
            <w:tcW w:w="1286" w:type="dxa"/>
          </w:tcPr>
          <w:p w:rsidR="00F22FB9" w:rsidRDefault="00F22FB9" w:rsidP="006F0DEB">
            <w:pPr>
              <w:pStyle w:val="TableParagraph"/>
              <w:spacing w:before="1"/>
              <w:ind w:left="0"/>
              <w:rPr>
                <w:rFonts w:ascii="Carlito"/>
                <w:sz w:val="21"/>
              </w:rPr>
            </w:pPr>
          </w:p>
          <w:p w:rsidR="00F22FB9" w:rsidRDefault="00F22FB9" w:rsidP="006F0DEB">
            <w:pPr>
              <w:pStyle w:val="TableParagraph"/>
              <w:ind w:left="178" w:right="110"/>
              <w:jc w:val="center"/>
              <w:rPr>
                <w:sz w:val="18"/>
              </w:rPr>
            </w:pPr>
            <w:r>
              <w:rPr>
                <w:sz w:val="18"/>
              </w:rPr>
              <w:t>Section 66-F</w:t>
            </w:r>
          </w:p>
        </w:tc>
        <w:tc>
          <w:tcPr>
            <w:tcW w:w="3083" w:type="dxa"/>
          </w:tcPr>
          <w:p w:rsidR="00F22FB9" w:rsidRDefault="00F22FB9" w:rsidP="006F0DEB">
            <w:pPr>
              <w:pStyle w:val="TableParagraph"/>
              <w:spacing w:before="1"/>
              <w:ind w:left="0"/>
              <w:rPr>
                <w:rFonts w:ascii="Carlito"/>
                <w:sz w:val="21"/>
              </w:rPr>
            </w:pPr>
          </w:p>
          <w:p w:rsidR="00F22FB9" w:rsidRDefault="00F22FB9" w:rsidP="006F0DEB">
            <w:pPr>
              <w:pStyle w:val="TableParagraph"/>
              <w:ind w:left="108" w:right="45"/>
              <w:jc w:val="center"/>
              <w:rPr>
                <w:sz w:val="18"/>
              </w:rPr>
            </w:pPr>
            <w:r>
              <w:rPr>
                <w:sz w:val="18"/>
              </w:rPr>
              <w:t>Cyber Terrorism</w:t>
            </w:r>
          </w:p>
        </w:tc>
        <w:tc>
          <w:tcPr>
            <w:tcW w:w="2614" w:type="dxa"/>
          </w:tcPr>
          <w:p w:rsidR="00F22FB9" w:rsidRDefault="00F22FB9" w:rsidP="006F0DEB">
            <w:pPr>
              <w:pStyle w:val="TableParagraph"/>
              <w:spacing w:before="154"/>
              <w:ind w:left="490" w:right="444" w:hanging="60"/>
              <w:rPr>
                <w:sz w:val="18"/>
              </w:rPr>
            </w:pPr>
            <w:r>
              <w:rPr>
                <w:sz w:val="18"/>
              </w:rPr>
              <w:t>Imprisonment extend to imprisonment for Life</w:t>
            </w:r>
          </w:p>
        </w:tc>
        <w:tc>
          <w:tcPr>
            <w:tcW w:w="2155" w:type="dxa"/>
          </w:tcPr>
          <w:p w:rsidR="00F22FB9" w:rsidRDefault="00F22FB9" w:rsidP="006F0DEB">
            <w:pPr>
              <w:pStyle w:val="TableParagraph"/>
              <w:spacing w:before="51"/>
              <w:ind w:left="101" w:right="197" w:hanging="2"/>
              <w:jc w:val="center"/>
              <w:rPr>
                <w:sz w:val="18"/>
              </w:rPr>
            </w:pPr>
            <w:r>
              <w:rPr>
                <w:sz w:val="18"/>
              </w:rPr>
              <w:t>Offence is Non-Bailable, Cognizable and triable by Court of Sessions</w:t>
            </w:r>
          </w:p>
        </w:tc>
      </w:tr>
      <w:tr w:rsidR="00F22FB9" w:rsidTr="006F0DEB">
        <w:trPr>
          <w:trHeight w:val="1560"/>
        </w:trPr>
        <w:tc>
          <w:tcPr>
            <w:tcW w:w="1286" w:type="dxa"/>
          </w:tcPr>
          <w:p w:rsidR="00F22FB9" w:rsidRDefault="00F22FB9" w:rsidP="006F0DEB">
            <w:pPr>
              <w:pStyle w:val="TableParagraph"/>
              <w:ind w:left="0"/>
              <w:rPr>
                <w:rFonts w:ascii="Carlito"/>
                <w:sz w:val="20"/>
              </w:rPr>
            </w:pPr>
          </w:p>
          <w:p w:rsidR="00F22FB9" w:rsidRDefault="00F22FB9" w:rsidP="006F0DEB">
            <w:pPr>
              <w:pStyle w:val="TableParagraph"/>
              <w:ind w:left="0"/>
              <w:rPr>
                <w:rFonts w:ascii="Carlito"/>
                <w:sz w:val="20"/>
              </w:rPr>
            </w:pPr>
          </w:p>
          <w:p w:rsidR="00F22FB9" w:rsidRDefault="00F22FB9" w:rsidP="006F0DEB">
            <w:pPr>
              <w:pStyle w:val="TableParagraph"/>
              <w:spacing w:before="1"/>
              <w:ind w:left="0"/>
              <w:rPr>
                <w:rFonts w:ascii="Carlito"/>
                <w:sz w:val="15"/>
              </w:rPr>
            </w:pPr>
          </w:p>
          <w:p w:rsidR="00F22FB9" w:rsidRDefault="00F22FB9" w:rsidP="006F0DEB">
            <w:pPr>
              <w:pStyle w:val="TableParagraph"/>
              <w:ind w:left="177" w:right="110"/>
              <w:jc w:val="center"/>
              <w:rPr>
                <w:sz w:val="18"/>
              </w:rPr>
            </w:pPr>
            <w:r>
              <w:rPr>
                <w:sz w:val="18"/>
              </w:rPr>
              <w:t>Section 67</w:t>
            </w:r>
          </w:p>
        </w:tc>
        <w:tc>
          <w:tcPr>
            <w:tcW w:w="3083" w:type="dxa"/>
          </w:tcPr>
          <w:p w:rsidR="00F22FB9" w:rsidRDefault="00F22FB9" w:rsidP="006F0DEB">
            <w:pPr>
              <w:pStyle w:val="TableParagraph"/>
              <w:ind w:left="0"/>
              <w:rPr>
                <w:rFonts w:ascii="Carlito"/>
                <w:sz w:val="20"/>
              </w:rPr>
            </w:pPr>
          </w:p>
          <w:p w:rsidR="00F22FB9" w:rsidRDefault="00F22FB9" w:rsidP="006F0DEB">
            <w:pPr>
              <w:pStyle w:val="TableParagraph"/>
              <w:spacing w:before="8"/>
              <w:ind w:left="0"/>
              <w:rPr>
                <w:rFonts w:ascii="Carlito"/>
                <w:sz w:val="26"/>
              </w:rPr>
            </w:pPr>
          </w:p>
          <w:p w:rsidR="00F22FB9" w:rsidRDefault="00F22FB9" w:rsidP="006F0DEB">
            <w:pPr>
              <w:pStyle w:val="TableParagraph"/>
              <w:ind w:left="610" w:right="236" w:hanging="288"/>
              <w:rPr>
                <w:sz w:val="18"/>
              </w:rPr>
            </w:pPr>
            <w:r>
              <w:rPr>
                <w:sz w:val="18"/>
              </w:rPr>
              <w:t>Publishing or transmitting obscene material in electronic form</w:t>
            </w:r>
          </w:p>
        </w:tc>
        <w:tc>
          <w:tcPr>
            <w:tcW w:w="2614" w:type="dxa"/>
          </w:tcPr>
          <w:p w:rsidR="00F22FB9" w:rsidRDefault="00F22FB9" w:rsidP="006F0DEB">
            <w:pPr>
              <w:pStyle w:val="TableParagraph"/>
              <w:spacing w:before="51"/>
              <w:ind w:left="67" w:right="100"/>
              <w:jc w:val="center"/>
              <w:rPr>
                <w:sz w:val="18"/>
              </w:rPr>
            </w:pPr>
            <w:r>
              <w:rPr>
                <w:sz w:val="18"/>
              </w:rPr>
              <w:t>On first Conviction imprisonment upto 3 ears and/or fine upto Rs. 5 lakh</w:t>
            </w:r>
          </w:p>
          <w:p w:rsidR="00F22FB9" w:rsidRDefault="00F22FB9" w:rsidP="006F0DEB">
            <w:pPr>
              <w:pStyle w:val="TableParagraph"/>
              <w:ind w:left="0"/>
              <w:rPr>
                <w:rFonts w:ascii="Carlito"/>
                <w:sz w:val="17"/>
              </w:rPr>
            </w:pPr>
          </w:p>
          <w:p w:rsidR="00F22FB9" w:rsidRDefault="00F22FB9" w:rsidP="006F0DEB">
            <w:pPr>
              <w:pStyle w:val="TableParagraph"/>
              <w:ind w:left="74" w:right="108" w:hanging="1"/>
              <w:jc w:val="center"/>
              <w:rPr>
                <w:sz w:val="18"/>
              </w:rPr>
            </w:pPr>
            <w:r>
              <w:rPr>
                <w:sz w:val="18"/>
              </w:rPr>
              <w:t>On Subsequent Conviction imprisonment upto 5 years and/or fine upto Rs. 10 lakh</w:t>
            </w:r>
          </w:p>
        </w:tc>
        <w:tc>
          <w:tcPr>
            <w:tcW w:w="2155" w:type="dxa"/>
          </w:tcPr>
          <w:p w:rsidR="00F22FB9" w:rsidRDefault="00F22FB9" w:rsidP="006F0DEB">
            <w:pPr>
              <w:pStyle w:val="TableParagraph"/>
              <w:ind w:left="0"/>
              <w:rPr>
                <w:rFonts w:ascii="Carlito"/>
                <w:sz w:val="20"/>
              </w:rPr>
            </w:pPr>
          </w:p>
          <w:p w:rsidR="00F22FB9" w:rsidRDefault="00F22FB9" w:rsidP="006F0DEB">
            <w:pPr>
              <w:pStyle w:val="TableParagraph"/>
              <w:spacing w:before="2"/>
              <w:ind w:left="0"/>
              <w:rPr>
                <w:rFonts w:ascii="Carlito"/>
                <w:sz w:val="18"/>
              </w:rPr>
            </w:pPr>
          </w:p>
          <w:p w:rsidR="00F22FB9" w:rsidRDefault="00F22FB9" w:rsidP="006F0DEB">
            <w:pPr>
              <w:pStyle w:val="TableParagraph"/>
              <w:ind w:left="101" w:right="197"/>
              <w:jc w:val="center"/>
              <w:rPr>
                <w:sz w:val="18"/>
              </w:rPr>
            </w:pPr>
            <w:r>
              <w:rPr>
                <w:sz w:val="18"/>
              </w:rPr>
              <w:t>Offence is Bailable, Cognizable and triable by Court of JMFC</w:t>
            </w:r>
          </w:p>
        </w:tc>
      </w:tr>
      <w:tr w:rsidR="00F22FB9" w:rsidTr="006F0DEB">
        <w:trPr>
          <w:trHeight w:val="1557"/>
        </w:trPr>
        <w:tc>
          <w:tcPr>
            <w:tcW w:w="1286" w:type="dxa"/>
          </w:tcPr>
          <w:p w:rsidR="00F22FB9" w:rsidRDefault="00F22FB9" w:rsidP="006F0DEB">
            <w:pPr>
              <w:pStyle w:val="TableParagraph"/>
              <w:ind w:left="0"/>
              <w:rPr>
                <w:rFonts w:ascii="Carlito"/>
                <w:sz w:val="20"/>
              </w:rPr>
            </w:pPr>
          </w:p>
          <w:p w:rsidR="00F22FB9" w:rsidRDefault="00F22FB9" w:rsidP="006F0DEB">
            <w:pPr>
              <w:pStyle w:val="TableParagraph"/>
              <w:ind w:left="0"/>
              <w:rPr>
                <w:rFonts w:ascii="Carlito"/>
                <w:sz w:val="20"/>
              </w:rPr>
            </w:pPr>
          </w:p>
          <w:p w:rsidR="00F22FB9" w:rsidRDefault="00F22FB9" w:rsidP="006F0DEB">
            <w:pPr>
              <w:pStyle w:val="TableParagraph"/>
              <w:spacing w:before="1"/>
              <w:ind w:left="0"/>
              <w:rPr>
                <w:rFonts w:ascii="Carlito"/>
                <w:sz w:val="15"/>
              </w:rPr>
            </w:pPr>
          </w:p>
          <w:p w:rsidR="00F22FB9" w:rsidRDefault="00F22FB9" w:rsidP="006F0DEB">
            <w:pPr>
              <w:pStyle w:val="TableParagraph"/>
              <w:ind w:left="181" w:right="110"/>
              <w:jc w:val="center"/>
              <w:rPr>
                <w:sz w:val="18"/>
              </w:rPr>
            </w:pPr>
            <w:r>
              <w:rPr>
                <w:sz w:val="18"/>
              </w:rPr>
              <w:t>Section 67-A</w:t>
            </w:r>
          </w:p>
        </w:tc>
        <w:tc>
          <w:tcPr>
            <w:tcW w:w="3083" w:type="dxa"/>
          </w:tcPr>
          <w:p w:rsidR="00F22FB9" w:rsidRDefault="00F22FB9" w:rsidP="006F0DEB">
            <w:pPr>
              <w:pStyle w:val="TableParagraph"/>
              <w:ind w:left="0"/>
              <w:rPr>
                <w:rFonts w:ascii="Carlito"/>
                <w:sz w:val="20"/>
              </w:rPr>
            </w:pPr>
          </w:p>
          <w:p w:rsidR="00F22FB9" w:rsidRDefault="00F22FB9" w:rsidP="006F0DEB">
            <w:pPr>
              <w:pStyle w:val="TableParagraph"/>
              <w:ind w:left="0"/>
              <w:rPr>
                <w:rFonts w:ascii="Carlito"/>
                <w:sz w:val="18"/>
              </w:rPr>
            </w:pPr>
          </w:p>
          <w:p w:rsidR="00F22FB9" w:rsidRDefault="00F22FB9" w:rsidP="006F0DEB">
            <w:pPr>
              <w:pStyle w:val="TableParagraph"/>
              <w:ind w:left="140" w:right="78" w:firstLine="2"/>
              <w:jc w:val="center"/>
              <w:rPr>
                <w:sz w:val="18"/>
              </w:rPr>
            </w:pPr>
            <w:r>
              <w:rPr>
                <w:sz w:val="18"/>
              </w:rPr>
              <w:t>Publishing or transmitting of material containing sexually explicit act, etc... in electronic form</w:t>
            </w:r>
          </w:p>
        </w:tc>
        <w:tc>
          <w:tcPr>
            <w:tcW w:w="2614" w:type="dxa"/>
          </w:tcPr>
          <w:p w:rsidR="00F22FB9" w:rsidRDefault="00F22FB9" w:rsidP="006F0DEB">
            <w:pPr>
              <w:pStyle w:val="TableParagraph"/>
              <w:spacing w:before="51"/>
              <w:ind w:left="66" w:right="100"/>
              <w:jc w:val="center"/>
              <w:rPr>
                <w:sz w:val="18"/>
              </w:rPr>
            </w:pPr>
            <w:r>
              <w:rPr>
                <w:sz w:val="18"/>
              </w:rPr>
              <w:t>On first Conviction imprisonment upto 5 ears and/or fine upto Rs.</w:t>
            </w:r>
          </w:p>
          <w:p w:rsidR="00F22FB9" w:rsidRDefault="00F22FB9" w:rsidP="006F0DEB">
            <w:pPr>
              <w:pStyle w:val="TableParagraph"/>
              <w:spacing w:line="206" w:lineRule="exact"/>
              <w:ind w:left="67" w:right="96"/>
              <w:jc w:val="center"/>
              <w:rPr>
                <w:sz w:val="18"/>
              </w:rPr>
            </w:pPr>
            <w:r>
              <w:rPr>
                <w:sz w:val="18"/>
              </w:rPr>
              <w:t>10 lakh</w:t>
            </w:r>
          </w:p>
          <w:p w:rsidR="00F22FB9" w:rsidRDefault="00F22FB9" w:rsidP="006F0DEB">
            <w:pPr>
              <w:pStyle w:val="TableParagraph"/>
              <w:ind w:left="0"/>
              <w:rPr>
                <w:rFonts w:ascii="Carlito"/>
                <w:sz w:val="17"/>
              </w:rPr>
            </w:pPr>
          </w:p>
          <w:p w:rsidR="00F22FB9" w:rsidRDefault="00F22FB9" w:rsidP="006F0DEB">
            <w:pPr>
              <w:pStyle w:val="TableParagraph"/>
              <w:ind w:left="74" w:right="108" w:hanging="1"/>
              <w:jc w:val="center"/>
              <w:rPr>
                <w:sz w:val="18"/>
              </w:rPr>
            </w:pPr>
            <w:r>
              <w:rPr>
                <w:sz w:val="18"/>
              </w:rPr>
              <w:t>On Subsequent Conviction imprisonment upto 7 years and/or fine upto Rs. 10 lakh</w:t>
            </w:r>
          </w:p>
        </w:tc>
        <w:tc>
          <w:tcPr>
            <w:tcW w:w="2155" w:type="dxa"/>
          </w:tcPr>
          <w:p w:rsidR="00F22FB9" w:rsidRDefault="00F22FB9" w:rsidP="006F0DEB">
            <w:pPr>
              <w:pStyle w:val="TableParagraph"/>
              <w:ind w:left="0"/>
              <w:rPr>
                <w:rFonts w:ascii="Carlito"/>
                <w:sz w:val="20"/>
              </w:rPr>
            </w:pPr>
          </w:p>
          <w:p w:rsidR="00F22FB9" w:rsidRDefault="00F22FB9" w:rsidP="006F0DEB">
            <w:pPr>
              <w:pStyle w:val="TableParagraph"/>
              <w:ind w:left="0"/>
              <w:rPr>
                <w:rFonts w:ascii="Carlito"/>
                <w:sz w:val="18"/>
              </w:rPr>
            </w:pPr>
          </w:p>
          <w:p w:rsidR="00F22FB9" w:rsidRDefault="00F22FB9" w:rsidP="006F0DEB">
            <w:pPr>
              <w:pStyle w:val="TableParagraph"/>
              <w:ind w:left="101" w:right="197" w:hanging="2"/>
              <w:jc w:val="center"/>
              <w:rPr>
                <w:sz w:val="18"/>
              </w:rPr>
            </w:pPr>
            <w:r>
              <w:rPr>
                <w:sz w:val="18"/>
              </w:rPr>
              <w:t>Offence is Non-Bailable, Cognizable and triable by Court of JMFC</w:t>
            </w:r>
          </w:p>
        </w:tc>
      </w:tr>
      <w:tr w:rsidR="00F22FB9" w:rsidTr="006F0DEB">
        <w:trPr>
          <w:trHeight w:val="1766"/>
        </w:trPr>
        <w:tc>
          <w:tcPr>
            <w:tcW w:w="1286" w:type="dxa"/>
          </w:tcPr>
          <w:p w:rsidR="00F22FB9" w:rsidRDefault="00F22FB9" w:rsidP="006F0DEB">
            <w:pPr>
              <w:pStyle w:val="TableParagraph"/>
              <w:ind w:left="0"/>
              <w:rPr>
                <w:rFonts w:ascii="Carlito"/>
                <w:sz w:val="20"/>
              </w:rPr>
            </w:pPr>
          </w:p>
          <w:p w:rsidR="00F22FB9" w:rsidRDefault="00F22FB9" w:rsidP="006F0DEB">
            <w:pPr>
              <w:pStyle w:val="TableParagraph"/>
              <w:ind w:left="0"/>
              <w:rPr>
                <w:rFonts w:ascii="Carlito"/>
                <w:sz w:val="20"/>
              </w:rPr>
            </w:pPr>
          </w:p>
          <w:p w:rsidR="00F22FB9" w:rsidRDefault="00F22FB9" w:rsidP="006F0DEB">
            <w:pPr>
              <w:pStyle w:val="TableParagraph"/>
              <w:spacing w:before="7"/>
              <w:ind w:left="0"/>
              <w:rPr>
                <w:rFonts w:ascii="Carlito"/>
                <w:sz w:val="23"/>
              </w:rPr>
            </w:pPr>
          </w:p>
          <w:p w:rsidR="00F22FB9" w:rsidRDefault="00F22FB9" w:rsidP="006F0DEB">
            <w:pPr>
              <w:pStyle w:val="TableParagraph"/>
              <w:ind w:left="181" w:right="110"/>
              <w:jc w:val="center"/>
              <w:rPr>
                <w:sz w:val="18"/>
              </w:rPr>
            </w:pPr>
            <w:r>
              <w:rPr>
                <w:sz w:val="18"/>
              </w:rPr>
              <w:t>Section 67-B</w:t>
            </w:r>
          </w:p>
        </w:tc>
        <w:tc>
          <w:tcPr>
            <w:tcW w:w="3083" w:type="dxa"/>
          </w:tcPr>
          <w:p w:rsidR="00F22FB9" w:rsidRDefault="00F22FB9" w:rsidP="006F0DEB">
            <w:pPr>
              <w:pStyle w:val="TableParagraph"/>
              <w:ind w:left="0"/>
              <w:rPr>
                <w:rFonts w:ascii="Carlito"/>
                <w:sz w:val="20"/>
              </w:rPr>
            </w:pPr>
          </w:p>
          <w:p w:rsidR="00F22FB9" w:rsidRDefault="00F22FB9" w:rsidP="006F0DEB">
            <w:pPr>
              <w:pStyle w:val="TableParagraph"/>
              <w:spacing w:before="7"/>
              <w:ind w:left="0"/>
              <w:rPr>
                <w:rFonts w:ascii="Carlito"/>
                <w:sz w:val="26"/>
              </w:rPr>
            </w:pPr>
          </w:p>
          <w:p w:rsidR="00F22FB9" w:rsidRDefault="00F22FB9" w:rsidP="006F0DEB">
            <w:pPr>
              <w:pStyle w:val="TableParagraph"/>
              <w:spacing w:before="1"/>
              <w:ind w:left="193" w:right="129"/>
              <w:jc w:val="center"/>
              <w:rPr>
                <w:sz w:val="18"/>
              </w:rPr>
            </w:pPr>
            <w:r>
              <w:rPr>
                <w:sz w:val="18"/>
              </w:rPr>
              <w:t>Publishing or transmitting of material depicting children in sexually explicit act etc., in electronic form</w:t>
            </w:r>
          </w:p>
        </w:tc>
        <w:tc>
          <w:tcPr>
            <w:tcW w:w="2614" w:type="dxa"/>
          </w:tcPr>
          <w:p w:rsidR="00F22FB9" w:rsidRDefault="00F22FB9" w:rsidP="006F0DEB">
            <w:pPr>
              <w:pStyle w:val="TableParagraph"/>
              <w:spacing w:before="51"/>
              <w:ind w:left="66" w:right="100"/>
              <w:jc w:val="center"/>
              <w:rPr>
                <w:sz w:val="18"/>
              </w:rPr>
            </w:pPr>
            <w:r>
              <w:rPr>
                <w:sz w:val="18"/>
              </w:rPr>
              <w:t>On first Conviction imprisonment of either description upto 5 years and/or fine upto Rs. 10 lakh</w:t>
            </w:r>
          </w:p>
          <w:p w:rsidR="00F22FB9" w:rsidRDefault="00F22FB9" w:rsidP="006F0DEB">
            <w:pPr>
              <w:pStyle w:val="TableParagraph"/>
              <w:ind w:left="0"/>
              <w:rPr>
                <w:rFonts w:ascii="Carlito"/>
                <w:sz w:val="17"/>
              </w:rPr>
            </w:pPr>
          </w:p>
          <w:p w:rsidR="00F22FB9" w:rsidRDefault="00F22FB9" w:rsidP="006F0DEB">
            <w:pPr>
              <w:pStyle w:val="TableParagraph"/>
              <w:ind w:left="173" w:right="209" w:firstLine="1"/>
              <w:jc w:val="center"/>
              <w:rPr>
                <w:sz w:val="18"/>
              </w:rPr>
            </w:pPr>
            <w:r>
              <w:rPr>
                <w:sz w:val="18"/>
              </w:rPr>
              <w:t>On Subsequent Conviction imprisonment of either description upto 7 years and/or fine upto Rs. 10 lakh</w:t>
            </w:r>
          </w:p>
        </w:tc>
        <w:tc>
          <w:tcPr>
            <w:tcW w:w="2155" w:type="dxa"/>
          </w:tcPr>
          <w:p w:rsidR="00F22FB9" w:rsidRDefault="00F22FB9" w:rsidP="006F0DEB">
            <w:pPr>
              <w:pStyle w:val="TableParagraph"/>
              <w:ind w:left="0"/>
              <w:rPr>
                <w:rFonts w:ascii="Carlito"/>
                <w:sz w:val="20"/>
              </w:rPr>
            </w:pPr>
          </w:p>
          <w:p w:rsidR="00F22FB9" w:rsidRDefault="00F22FB9" w:rsidP="006F0DEB">
            <w:pPr>
              <w:pStyle w:val="TableParagraph"/>
              <w:spacing w:before="7"/>
              <w:ind w:left="0"/>
              <w:rPr>
                <w:rFonts w:ascii="Carlito"/>
                <w:sz w:val="26"/>
              </w:rPr>
            </w:pPr>
          </w:p>
          <w:p w:rsidR="00F22FB9" w:rsidRDefault="00F22FB9" w:rsidP="006F0DEB">
            <w:pPr>
              <w:pStyle w:val="TableParagraph"/>
              <w:spacing w:before="1"/>
              <w:ind w:left="101" w:right="197" w:hanging="4"/>
              <w:jc w:val="center"/>
              <w:rPr>
                <w:sz w:val="18"/>
              </w:rPr>
            </w:pPr>
            <w:r>
              <w:rPr>
                <w:sz w:val="18"/>
              </w:rPr>
              <w:t>Offence is Non Bailable, Cognizable and triable by Court of JMFC</w:t>
            </w:r>
          </w:p>
        </w:tc>
      </w:tr>
      <w:tr w:rsidR="00F22FB9" w:rsidTr="006F0DEB">
        <w:trPr>
          <w:trHeight w:val="938"/>
        </w:trPr>
        <w:tc>
          <w:tcPr>
            <w:tcW w:w="1286" w:type="dxa"/>
          </w:tcPr>
          <w:p w:rsidR="00F22FB9" w:rsidRDefault="00F22FB9" w:rsidP="006F0DEB">
            <w:pPr>
              <w:pStyle w:val="TableParagraph"/>
              <w:spacing w:before="9"/>
              <w:ind w:left="0"/>
              <w:rPr>
                <w:rFonts w:ascii="Carlito"/>
                <w:sz w:val="29"/>
              </w:rPr>
            </w:pPr>
          </w:p>
          <w:p w:rsidR="00F22FB9" w:rsidRDefault="00F22FB9" w:rsidP="006F0DEB">
            <w:pPr>
              <w:pStyle w:val="TableParagraph"/>
              <w:ind w:left="181" w:right="110"/>
              <w:jc w:val="center"/>
              <w:rPr>
                <w:sz w:val="18"/>
              </w:rPr>
            </w:pPr>
            <w:r>
              <w:rPr>
                <w:sz w:val="18"/>
              </w:rPr>
              <w:t>Section 67-C</w:t>
            </w:r>
          </w:p>
        </w:tc>
        <w:tc>
          <w:tcPr>
            <w:tcW w:w="3083" w:type="dxa"/>
          </w:tcPr>
          <w:p w:rsidR="00F22FB9" w:rsidRDefault="00F22FB9" w:rsidP="006F0DEB">
            <w:pPr>
              <w:pStyle w:val="TableParagraph"/>
              <w:spacing w:before="51"/>
              <w:ind w:left="128" w:right="59"/>
              <w:jc w:val="center"/>
              <w:rPr>
                <w:sz w:val="18"/>
              </w:rPr>
            </w:pPr>
            <w:r>
              <w:rPr>
                <w:sz w:val="18"/>
              </w:rPr>
              <w:t>Intermediary intentionally or knowingly contravening the directions about Preservation and retention of information</w:t>
            </w:r>
          </w:p>
        </w:tc>
        <w:tc>
          <w:tcPr>
            <w:tcW w:w="2614" w:type="dxa"/>
          </w:tcPr>
          <w:p w:rsidR="00F22FB9" w:rsidRDefault="00F22FB9" w:rsidP="006F0DEB">
            <w:pPr>
              <w:pStyle w:val="TableParagraph"/>
              <w:spacing w:before="1"/>
              <w:ind w:left="0"/>
              <w:rPr>
                <w:rFonts w:ascii="Carlito"/>
                <w:sz w:val="21"/>
              </w:rPr>
            </w:pPr>
          </w:p>
          <w:p w:rsidR="00F22FB9" w:rsidRDefault="00F22FB9" w:rsidP="006F0DEB">
            <w:pPr>
              <w:pStyle w:val="TableParagraph"/>
              <w:ind w:left="1150" w:right="78" w:hanging="980"/>
              <w:rPr>
                <w:sz w:val="18"/>
              </w:rPr>
            </w:pPr>
            <w:r>
              <w:rPr>
                <w:sz w:val="18"/>
              </w:rPr>
              <w:t>Imprisonment upto 3 years and fine</w:t>
            </w:r>
          </w:p>
        </w:tc>
        <w:tc>
          <w:tcPr>
            <w:tcW w:w="2155" w:type="dxa"/>
          </w:tcPr>
          <w:p w:rsidR="00F22FB9" w:rsidRDefault="00F22FB9" w:rsidP="006F0DEB">
            <w:pPr>
              <w:pStyle w:val="TableParagraph"/>
              <w:spacing w:before="1"/>
              <w:ind w:left="0"/>
              <w:rPr>
                <w:rFonts w:ascii="Carlito"/>
                <w:sz w:val="21"/>
              </w:rPr>
            </w:pPr>
          </w:p>
          <w:p w:rsidR="00F22FB9" w:rsidRDefault="00F22FB9" w:rsidP="006F0DEB">
            <w:pPr>
              <w:pStyle w:val="TableParagraph"/>
              <w:ind w:left="596" w:right="388" w:hanging="284"/>
              <w:rPr>
                <w:sz w:val="18"/>
              </w:rPr>
            </w:pPr>
            <w:r>
              <w:rPr>
                <w:sz w:val="18"/>
              </w:rPr>
              <w:t>Offence is Bailable, Cognizable.</w:t>
            </w:r>
          </w:p>
        </w:tc>
      </w:tr>
      <w:tr w:rsidR="00F22FB9" w:rsidTr="006F0DEB">
        <w:trPr>
          <w:trHeight w:val="523"/>
        </w:trPr>
        <w:tc>
          <w:tcPr>
            <w:tcW w:w="1286" w:type="dxa"/>
          </w:tcPr>
          <w:p w:rsidR="00F22FB9" w:rsidRDefault="00F22FB9" w:rsidP="006F0DEB">
            <w:pPr>
              <w:pStyle w:val="TableParagraph"/>
              <w:spacing w:before="154"/>
              <w:ind w:left="177" w:right="110"/>
              <w:jc w:val="center"/>
              <w:rPr>
                <w:sz w:val="18"/>
              </w:rPr>
            </w:pPr>
            <w:r>
              <w:rPr>
                <w:sz w:val="18"/>
              </w:rPr>
              <w:lastRenderedPageBreak/>
              <w:t>Section 68</w:t>
            </w:r>
          </w:p>
        </w:tc>
        <w:tc>
          <w:tcPr>
            <w:tcW w:w="3083" w:type="dxa"/>
          </w:tcPr>
          <w:p w:rsidR="00F22FB9" w:rsidRDefault="00F22FB9" w:rsidP="006F0DEB">
            <w:pPr>
              <w:pStyle w:val="TableParagraph"/>
              <w:spacing w:before="51"/>
              <w:ind w:left="869" w:right="158" w:hanging="629"/>
              <w:rPr>
                <w:sz w:val="18"/>
              </w:rPr>
            </w:pPr>
            <w:r>
              <w:rPr>
                <w:sz w:val="18"/>
              </w:rPr>
              <w:t>Failure to comply with the directions given by Controller</w:t>
            </w:r>
          </w:p>
        </w:tc>
        <w:tc>
          <w:tcPr>
            <w:tcW w:w="2614" w:type="dxa"/>
          </w:tcPr>
          <w:p w:rsidR="00F22FB9" w:rsidRDefault="00F22FB9" w:rsidP="006F0DEB">
            <w:pPr>
              <w:pStyle w:val="TableParagraph"/>
              <w:spacing w:before="51"/>
              <w:ind w:left="581" w:right="85" w:hanging="512"/>
              <w:rPr>
                <w:sz w:val="18"/>
              </w:rPr>
            </w:pPr>
            <w:r>
              <w:rPr>
                <w:sz w:val="18"/>
              </w:rPr>
              <w:t>Imprisonment upto 2 years and/or fine upto Rs. 1 lakh</w:t>
            </w:r>
          </w:p>
        </w:tc>
        <w:tc>
          <w:tcPr>
            <w:tcW w:w="2155" w:type="dxa"/>
          </w:tcPr>
          <w:p w:rsidR="00F22FB9" w:rsidRDefault="00F22FB9" w:rsidP="006F0DEB">
            <w:pPr>
              <w:pStyle w:val="TableParagraph"/>
              <w:spacing w:before="51"/>
              <w:ind w:left="596" w:right="182" w:hanging="493"/>
              <w:rPr>
                <w:sz w:val="18"/>
              </w:rPr>
            </w:pPr>
            <w:r>
              <w:rPr>
                <w:sz w:val="18"/>
              </w:rPr>
              <w:t>Offence is Bailable, Non- Cognizable.</w:t>
            </w:r>
          </w:p>
        </w:tc>
      </w:tr>
      <w:tr w:rsidR="00F22FB9" w:rsidTr="006F0DEB">
        <w:trPr>
          <w:trHeight w:val="1145"/>
        </w:trPr>
        <w:tc>
          <w:tcPr>
            <w:tcW w:w="1286" w:type="dxa"/>
          </w:tcPr>
          <w:p w:rsidR="00F22FB9" w:rsidRDefault="00F22FB9" w:rsidP="006F0DEB">
            <w:pPr>
              <w:pStyle w:val="TableParagraph"/>
              <w:ind w:left="0"/>
              <w:rPr>
                <w:rFonts w:ascii="Carlito"/>
                <w:sz w:val="20"/>
              </w:rPr>
            </w:pPr>
          </w:p>
          <w:p w:rsidR="00F22FB9" w:rsidRDefault="00F22FB9" w:rsidP="006F0DEB">
            <w:pPr>
              <w:pStyle w:val="TableParagraph"/>
              <w:spacing w:before="2"/>
              <w:ind w:left="0"/>
              <w:rPr>
                <w:rFonts w:ascii="Carlito"/>
                <w:sz w:val="18"/>
              </w:rPr>
            </w:pPr>
          </w:p>
          <w:p w:rsidR="00F22FB9" w:rsidRDefault="00F22FB9" w:rsidP="006F0DEB">
            <w:pPr>
              <w:pStyle w:val="TableParagraph"/>
              <w:ind w:left="177" w:right="110"/>
              <w:jc w:val="center"/>
              <w:rPr>
                <w:sz w:val="18"/>
              </w:rPr>
            </w:pPr>
            <w:r>
              <w:rPr>
                <w:sz w:val="18"/>
              </w:rPr>
              <w:t>Section 69</w:t>
            </w:r>
          </w:p>
        </w:tc>
        <w:tc>
          <w:tcPr>
            <w:tcW w:w="3083" w:type="dxa"/>
          </w:tcPr>
          <w:p w:rsidR="00F22FB9" w:rsidRDefault="00F22FB9" w:rsidP="006F0DEB">
            <w:pPr>
              <w:pStyle w:val="TableParagraph"/>
              <w:spacing w:before="51"/>
              <w:ind w:left="152" w:right="91" w:firstLine="2"/>
              <w:jc w:val="center"/>
              <w:rPr>
                <w:sz w:val="18"/>
              </w:rPr>
            </w:pPr>
            <w:r>
              <w:rPr>
                <w:sz w:val="18"/>
              </w:rPr>
              <w:t>Failure to assist the agency referred to in sub section (3) in regard interception or monitoring or decryption of any information through any computer resource</w:t>
            </w:r>
          </w:p>
        </w:tc>
        <w:tc>
          <w:tcPr>
            <w:tcW w:w="2614" w:type="dxa"/>
          </w:tcPr>
          <w:p w:rsidR="00F22FB9" w:rsidRDefault="00F22FB9" w:rsidP="006F0DEB">
            <w:pPr>
              <w:pStyle w:val="TableParagraph"/>
              <w:spacing w:before="9"/>
              <w:ind w:left="0"/>
              <w:rPr>
                <w:rFonts w:ascii="Carlito"/>
                <w:sz w:val="29"/>
              </w:rPr>
            </w:pPr>
          </w:p>
          <w:p w:rsidR="00F22FB9" w:rsidRDefault="00F22FB9" w:rsidP="006F0DEB">
            <w:pPr>
              <w:pStyle w:val="TableParagraph"/>
              <w:ind w:left="1150" w:right="78" w:hanging="980"/>
              <w:rPr>
                <w:sz w:val="18"/>
              </w:rPr>
            </w:pPr>
            <w:r>
              <w:rPr>
                <w:sz w:val="18"/>
              </w:rPr>
              <w:t>Imprisonment upto 7 years and fine</w:t>
            </w:r>
          </w:p>
        </w:tc>
        <w:tc>
          <w:tcPr>
            <w:tcW w:w="2155" w:type="dxa"/>
          </w:tcPr>
          <w:p w:rsidR="00F22FB9" w:rsidRDefault="00F22FB9" w:rsidP="006F0DEB">
            <w:pPr>
              <w:pStyle w:val="TableParagraph"/>
              <w:spacing w:before="9"/>
              <w:ind w:left="0"/>
              <w:rPr>
                <w:rFonts w:ascii="Carlito"/>
                <w:sz w:val="29"/>
              </w:rPr>
            </w:pPr>
          </w:p>
          <w:p w:rsidR="00F22FB9" w:rsidRDefault="00F22FB9" w:rsidP="006F0DEB">
            <w:pPr>
              <w:pStyle w:val="TableParagraph"/>
              <w:ind w:left="596" w:right="205" w:hanging="471"/>
              <w:rPr>
                <w:sz w:val="18"/>
              </w:rPr>
            </w:pPr>
            <w:r>
              <w:rPr>
                <w:sz w:val="18"/>
              </w:rPr>
              <w:t>Offence is Non-Bailable, Cognizable.</w:t>
            </w:r>
          </w:p>
        </w:tc>
      </w:tr>
      <w:tr w:rsidR="00F22FB9" w:rsidTr="006F0DEB">
        <w:trPr>
          <w:trHeight w:val="466"/>
        </w:trPr>
        <w:tc>
          <w:tcPr>
            <w:tcW w:w="1286" w:type="dxa"/>
          </w:tcPr>
          <w:p w:rsidR="00F22FB9" w:rsidRDefault="00F22FB9" w:rsidP="006F0DEB">
            <w:pPr>
              <w:pStyle w:val="TableParagraph"/>
              <w:spacing w:before="156"/>
              <w:ind w:left="181" w:right="110"/>
              <w:jc w:val="center"/>
              <w:rPr>
                <w:sz w:val="18"/>
              </w:rPr>
            </w:pPr>
            <w:r>
              <w:rPr>
                <w:sz w:val="18"/>
              </w:rPr>
              <w:t>Section 69-A</w:t>
            </w:r>
          </w:p>
        </w:tc>
        <w:tc>
          <w:tcPr>
            <w:tcW w:w="3083" w:type="dxa"/>
          </w:tcPr>
          <w:p w:rsidR="00F22FB9" w:rsidRDefault="00F22FB9" w:rsidP="006F0DEB">
            <w:pPr>
              <w:pStyle w:val="TableParagraph"/>
              <w:spacing w:before="48" w:line="210" w:lineRule="atLeast"/>
              <w:ind w:left="226" w:right="137" w:hanging="5"/>
              <w:rPr>
                <w:sz w:val="18"/>
              </w:rPr>
            </w:pPr>
            <w:r>
              <w:rPr>
                <w:sz w:val="18"/>
              </w:rPr>
              <w:t>Failure of the intermediary to comply with the direction issued for blocking</w:t>
            </w:r>
          </w:p>
        </w:tc>
        <w:tc>
          <w:tcPr>
            <w:tcW w:w="2614" w:type="dxa"/>
          </w:tcPr>
          <w:p w:rsidR="00F22FB9" w:rsidRDefault="00F22FB9" w:rsidP="006F0DEB">
            <w:pPr>
              <w:pStyle w:val="TableParagraph"/>
              <w:spacing w:before="48" w:line="210" w:lineRule="atLeast"/>
              <w:ind w:left="1150" w:right="78" w:hanging="980"/>
              <w:rPr>
                <w:sz w:val="18"/>
              </w:rPr>
            </w:pPr>
            <w:r>
              <w:rPr>
                <w:sz w:val="18"/>
              </w:rPr>
              <w:t>Imprisonment upto 7 years and fine</w:t>
            </w:r>
          </w:p>
        </w:tc>
        <w:tc>
          <w:tcPr>
            <w:tcW w:w="2155" w:type="dxa"/>
          </w:tcPr>
          <w:p w:rsidR="00F22FB9" w:rsidRDefault="00F22FB9" w:rsidP="006F0DEB">
            <w:pPr>
              <w:pStyle w:val="TableParagraph"/>
              <w:spacing w:before="48" w:line="210" w:lineRule="atLeast"/>
              <w:ind w:left="596" w:right="205" w:hanging="471"/>
              <w:rPr>
                <w:sz w:val="18"/>
              </w:rPr>
            </w:pPr>
            <w:r>
              <w:rPr>
                <w:sz w:val="18"/>
              </w:rPr>
              <w:t>Offence is Non-Bailable, Cognizable.</w:t>
            </w:r>
          </w:p>
        </w:tc>
      </w:tr>
    </w:tbl>
    <w:p w:rsidR="00F22FB9" w:rsidRDefault="00F22FB9" w:rsidP="00F22FB9">
      <w:pPr>
        <w:spacing w:line="210" w:lineRule="atLeast"/>
        <w:rPr>
          <w:sz w:val="18"/>
        </w:rPr>
        <w:sectPr w:rsidR="00F22FB9" w:rsidSect="00F22FB9">
          <w:type w:val="continuous"/>
          <w:pgSz w:w="11910" w:h="16840"/>
          <w:pgMar w:top="1480" w:right="1180" w:bottom="280" w:left="1300" w:header="720" w:footer="720" w:gutter="0"/>
          <w:cols w:space="720"/>
        </w:sectPr>
      </w:pPr>
    </w:p>
    <w:tbl>
      <w:tblPr>
        <w:tblW w:w="0" w:type="auto"/>
        <w:tblInd w:w="137" w:type="dxa"/>
        <w:tblLayout w:type="fixed"/>
        <w:tblCellMar>
          <w:left w:w="0" w:type="dxa"/>
          <w:right w:w="0" w:type="dxa"/>
        </w:tblCellMar>
        <w:tblLook w:val="01E0"/>
      </w:tblPr>
      <w:tblGrid>
        <w:gridCol w:w="1289"/>
        <w:gridCol w:w="3079"/>
        <w:gridCol w:w="2615"/>
        <w:gridCol w:w="2155"/>
      </w:tblGrid>
      <w:tr w:rsidR="00F22FB9" w:rsidTr="006F0DEB">
        <w:trPr>
          <w:trHeight w:val="464"/>
        </w:trPr>
        <w:tc>
          <w:tcPr>
            <w:tcW w:w="1289" w:type="dxa"/>
          </w:tcPr>
          <w:p w:rsidR="00F22FB9" w:rsidRDefault="00F22FB9" w:rsidP="006F0DEB">
            <w:pPr>
              <w:pStyle w:val="TableParagraph"/>
              <w:ind w:left="0"/>
              <w:rPr>
                <w:sz w:val="18"/>
              </w:rPr>
            </w:pPr>
          </w:p>
        </w:tc>
        <w:tc>
          <w:tcPr>
            <w:tcW w:w="3079" w:type="dxa"/>
          </w:tcPr>
          <w:p w:rsidR="00F22FB9" w:rsidRDefault="00F22FB9" w:rsidP="006F0DEB">
            <w:pPr>
              <w:pStyle w:val="TableParagraph"/>
              <w:ind w:left="449" w:right="188" w:hanging="183"/>
              <w:rPr>
                <w:sz w:val="18"/>
              </w:rPr>
            </w:pPr>
            <w:r>
              <w:rPr>
                <w:sz w:val="18"/>
              </w:rPr>
              <w:t>for public access of any information through any computer resource</w:t>
            </w:r>
          </w:p>
        </w:tc>
        <w:tc>
          <w:tcPr>
            <w:tcW w:w="2615" w:type="dxa"/>
          </w:tcPr>
          <w:p w:rsidR="00F22FB9" w:rsidRDefault="00F22FB9" w:rsidP="006F0DEB">
            <w:pPr>
              <w:pStyle w:val="TableParagraph"/>
              <w:ind w:left="0"/>
              <w:rPr>
                <w:sz w:val="18"/>
              </w:rPr>
            </w:pPr>
          </w:p>
        </w:tc>
        <w:tc>
          <w:tcPr>
            <w:tcW w:w="2155" w:type="dxa"/>
          </w:tcPr>
          <w:p w:rsidR="00F22FB9" w:rsidRDefault="00F22FB9" w:rsidP="006F0DEB">
            <w:pPr>
              <w:pStyle w:val="TableParagraph"/>
              <w:ind w:left="0"/>
              <w:rPr>
                <w:sz w:val="18"/>
              </w:rPr>
            </w:pPr>
          </w:p>
        </w:tc>
      </w:tr>
      <w:tr w:rsidR="00F22FB9" w:rsidTr="006F0DEB">
        <w:trPr>
          <w:trHeight w:val="1352"/>
        </w:trPr>
        <w:tc>
          <w:tcPr>
            <w:tcW w:w="1289" w:type="dxa"/>
          </w:tcPr>
          <w:p w:rsidR="00F22FB9" w:rsidRDefault="00F22FB9" w:rsidP="006F0DEB">
            <w:pPr>
              <w:pStyle w:val="TableParagraph"/>
              <w:ind w:left="0"/>
              <w:rPr>
                <w:rFonts w:ascii="Carlito"/>
                <w:sz w:val="20"/>
              </w:rPr>
            </w:pPr>
          </w:p>
          <w:p w:rsidR="00F22FB9" w:rsidRDefault="00F22FB9" w:rsidP="006F0DEB">
            <w:pPr>
              <w:pStyle w:val="TableParagraph"/>
              <w:spacing w:before="7"/>
              <w:ind w:left="0"/>
              <w:rPr>
                <w:rFonts w:ascii="Carlito"/>
                <w:sz w:val="26"/>
              </w:rPr>
            </w:pPr>
          </w:p>
          <w:p w:rsidR="00F22FB9" w:rsidRDefault="00F22FB9" w:rsidP="006F0DEB">
            <w:pPr>
              <w:pStyle w:val="TableParagraph"/>
              <w:spacing w:before="1"/>
              <w:ind w:left="181" w:right="113"/>
              <w:jc w:val="center"/>
              <w:rPr>
                <w:sz w:val="18"/>
              </w:rPr>
            </w:pPr>
            <w:r>
              <w:rPr>
                <w:sz w:val="18"/>
              </w:rPr>
              <w:t>Section 69-B</w:t>
            </w:r>
          </w:p>
        </w:tc>
        <w:tc>
          <w:tcPr>
            <w:tcW w:w="3079" w:type="dxa"/>
          </w:tcPr>
          <w:p w:rsidR="00F22FB9" w:rsidRDefault="00F22FB9" w:rsidP="006F0DEB">
            <w:pPr>
              <w:pStyle w:val="TableParagraph"/>
              <w:spacing w:before="51"/>
              <w:ind w:left="130" w:right="68" w:firstLine="1"/>
              <w:jc w:val="center"/>
              <w:rPr>
                <w:sz w:val="18"/>
              </w:rPr>
            </w:pPr>
            <w:r>
              <w:rPr>
                <w:sz w:val="18"/>
              </w:rPr>
              <w:t>Intermediary who intentionally or knowingly contravenes the provisions of sub-section (2) in regard monitor and collect traffic data or information through any computer resource for cyber security</w:t>
            </w:r>
          </w:p>
        </w:tc>
        <w:tc>
          <w:tcPr>
            <w:tcW w:w="2615" w:type="dxa"/>
          </w:tcPr>
          <w:p w:rsidR="00F22FB9" w:rsidRDefault="00F22FB9" w:rsidP="006F0DEB">
            <w:pPr>
              <w:pStyle w:val="TableParagraph"/>
              <w:ind w:left="0"/>
              <w:rPr>
                <w:rFonts w:ascii="Carlito"/>
                <w:sz w:val="20"/>
              </w:rPr>
            </w:pPr>
          </w:p>
          <w:p w:rsidR="00F22FB9" w:rsidRDefault="00F22FB9" w:rsidP="006F0DEB">
            <w:pPr>
              <w:pStyle w:val="TableParagraph"/>
              <w:spacing w:before="2"/>
              <w:ind w:left="0"/>
              <w:rPr>
                <w:rFonts w:ascii="Carlito"/>
                <w:sz w:val="18"/>
              </w:rPr>
            </w:pPr>
          </w:p>
          <w:p w:rsidR="00F22FB9" w:rsidRDefault="00F22FB9" w:rsidP="006F0DEB">
            <w:pPr>
              <w:pStyle w:val="TableParagraph"/>
              <w:ind w:left="1151" w:hanging="980"/>
              <w:rPr>
                <w:sz w:val="18"/>
              </w:rPr>
            </w:pPr>
            <w:r>
              <w:rPr>
                <w:sz w:val="18"/>
              </w:rPr>
              <w:t>Imprisonment upto 3 years and fine</w:t>
            </w:r>
          </w:p>
        </w:tc>
        <w:tc>
          <w:tcPr>
            <w:tcW w:w="2155" w:type="dxa"/>
          </w:tcPr>
          <w:p w:rsidR="00F22FB9" w:rsidRDefault="00F22FB9" w:rsidP="006F0DEB">
            <w:pPr>
              <w:pStyle w:val="TableParagraph"/>
              <w:ind w:left="0"/>
              <w:rPr>
                <w:rFonts w:ascii="Carlito"/>
                <w:sz w:val="20"/>
              </w:rPr>
            </w:pPr>
          </w:p>
          <w:p w:rsidR="00F22FB9" w:rsidRDefault="00F22FB9" w:rsidP="006F0DEB">
            <w:pPr>
              <w:pStyle w:val="TableParagraph"/>
              <w:spacing w:before="2"/>
              <w:ind w:left="0"/>
              <w:rPr>
                <w:rFonts w:ascii="Carlito"/>
                <w:sz w:val="18"/>
              </w:rPr>
            </w:pPr>
          </w:p>
          <w:p w:rsidR="00F22FB9" w:rsidRDefault="00F22FB9" w:rsidP="006F0DEB">
            <w:pPr>
              <w:pStyle w:val="TableParagraph"/>
              <w:ind w:left="596" w:right="388" w:hanging="284"/>
              <w:rPr>
                <w:sz w:val="18"/>
              </w:rPr>
            </w:pPr>
            <w:r>
              <w:rPr>
                <w:sz w:val="18"/>
              </w:rPr>
              <w:t>Offence is Bailable, Cognizable.</w:t>
            </w:r>
          </w:p>
        </w:tc>
      </w:tr>
      <w:tr w:rsidR="00F22FB9" w:rsidTr="006F0DEB">
        <w:trPr>
          <w:trHeight w:val="937"/>
        </w:trPr>
        <w:tc>
          <w:tcPr>
            <w:tcW w:w="1289" w:type="dxa"/>
          </w:tcPr>
          <w:p w:rsidR="00F22FB9" w:rsidRDefault="00F22FB9" w:rsidP="006F0DEB">
            <w:pPr>
              <w:pStyle w:val="TableParagraph"/>
              <w:spacing w:before="7"/>
              <w:ind w:left="0"/>
              <w:rPr>
                <w:rFonts w:ascii="Carlito"/>
                <w:sz w:val="29"/>
              </w:rPr>
            </w:pPr>
          </w:p>
          <w:p w:rsidR="00F22FB9" w:rsidRDefault="00F22FB9" w:rsidP="006F0DEB">
            <w:pPr>
              <w:pStyle w:val="TableParagraph"/>
              <w:spacing w:before="1"/>
              <w:ind w:left="177" w:right="113"/>
              <w:jc w:val="center"/>
              <w:rPr>
                <w:sz w:val="18"/>
              </w:rPr>
            </w:pPr>
            <w:r>
              <w:rPr>
                <w:sz w:val="18"/>
              </w:rPr>
              <w:t>Section 70</w:t>
            </w:r>
          </w:p>
        </w:tc>
        <w:tc>
          <w:tcPr>
            <w:tcW w:w="3079" w:type="dxa"/>
          </w:tcPr>
          <w:p w:rsidR="00F22FB9" w:rsidRDefault="00F22FB9" w:rsidP="006F0DEB">
            <w:pPr>
              <w:pStyle w:val="TableParagraph"/>
              <w:spacing w:before="52"/>
              <w:ind w:left="156" w:right="90"/>
              <w:jc w:val="center"/>
              <w:rPr>
                <w:sz w:val="18"/>
              </w:rPr>
            </w:pPr>
            <w:r>
              <w:rPr>
                <w:sz w:val="18"/>
              </w:rPr>
              <w:t>Any person who secures acess or attempts to secure access to the protected system in contravention of provision of Sec. 70</w:t>
            </w:r>
          </w:p>
        </w:tc>
        <w:tc>
          <w:tcPr>
            <w:tcW w:w="2615" w:type="dxa"/>
          </w:tcPr>
          <w:p w:rsidR="00F22FB9" w:rsidRDefault="00F22FB9" w:rsidP="006F0DEB">
            <w:pPr>
              <w:pStyle w:val="TableParagraph"/>
              <w:spacing w:before="2"/>
              <w:ind w:left="0"/>
              <w:rPr>
                <w:rFonts w:ascii="Carlito"/>
                <w:sz w:val="21"/>
              </w:rPr>
            </w:pPr>
          </w:p>
          <w:p w:rsidR="00F22FB9" w:rsidRDefault="00F22FB9" w:rsidP="006F0DEB">
            <w:pPr>
              <w:pStyle w:val="TableParagraph"/>
              <w:ind w:left="68" w:firstLine="394"/>
              <w:rPr>
                <w:sz w:val="18"/>
              </w:rPr>
            </w:pPr>
            <w:r>
              <w:rPr>
                <w:sz w:val="18"/>
              </w:rPr>
              <w:t>Imprisonment of either description upto 10 years and fine</w:t>
            </w:r>
          </w:p>
        </w:tc>
        <w:tc>
          <w:tcPr>
            <w:tcW w:w="2155" w:type="dxa"/>
          </w:tcPr>
          <w:p w:rsidR="00F22FB9" w:rsidRDefault="00F22FB9" w:rsidP="006F0DEB">
            <w:pPr>
              <w:pStyle w:val="TableParagraph"/>
              <w:spacing w:before="2"/>
              <w:ind w:left="0"/>
              <w:rPr>
                <w:rFonts w:ascii="Carlito"/>
                <w:sz w:val="21"/>
              </w:rPr>
            </w:pPr>
          </w:p>
          <w:p w:rsidR="00F22FB9" w:rsidRDefault="00F22FB9" w:rsidP="006F0DEB">
            <w:pPr>
              <w:pStyle w:val="TableParagraph"/>
              <w:ind w:left="596" w:right="205" w:hanging="471"/>
              <w:rPr>
                <w:sz w:val="18"/>
              </w:rPr>
            </w:pPr>
            <w:r>
              <w:rPr>
                <w:sz w:val="18"/>
              </w:rPr>
              <w:t>Offence is Non-Bailable, Cognizable.</w:t>
            </w:r>
          </w:p>
        </w:tc>
      </w:tr>
      <w:tr w:rsidR="00F22FB9" w:rsidTr="006F0DEB">
        <w:trPr>
          <w:trHeight w:val="1766"/>
        </w:trPr>
        <w:tc>
          <w:tcPr>
            <w:tcW w:w="1289" w:type="dxa"/>
          </w:tcPr>
          <w:p w:rsidR="00F22FB9" w:rsidRDefault="00F22FB9" w:rsidP="006F0DEB">
            <w:pPr>
              <w:pStyle w:val="TableParagraph"/>
              <w:ind w:left="0"/>
              <w:rPr>
                <w:rFonts w:ascii="Carlito"/>
                <w:sz w:val="20"/>
              </w:rPr>
            </w:pPr>
          </w:p>
          <w:p w:rsidR="00F22FB9" w:rsidRDefault="00F22FB9" w:rsidP="006F0DEB">
            <w:pPr>
              <w:pStyle w:val="TableParagraph"/>
              <w:ind w:left="0"/>
              <w:rPr>
                <w:rFonts w:ascii="Carlito"/>
                <w:sz w:val="20"/>
              </w:rPr>
            </w:pPr>
          </w:p>
          <w:p w:rsidR="00F22FB9" w:rsidRDefault="00F22FB9" w:rsidP="006F0DEB">
            <w:pPr>
              <w:pStyle w:val="TableParagraph"/>
              <w:spacing w:before="7"/>
              <w:ind w:left="0"/>
              <w:rPr>
                <w:rFonts w:ascii="Carlito"/>
                <w:sz w:val="23"/>
              </w:rPr>
            </w:pPr>
          </w:p>
          <w:p w:rsidR="00F22FB9" w:rsidRDefault="00F22FB9" w:rsidP="006F0DEB">
            <w:pPr>
              <w:pStyle w:val="TableParagraph"/>
              <w:ind w:left="181" w:right="113"/>
              <w:jc w:val="center"/>
              <w:rPr>
                <w:sz w:val="18"/>
              </w:rPr>
            </w:pPr>
            <w:r>
              <w:rPr>
                <w:sz w:val="18"/>
              </w:rPr>
              <w:t>Section 70-B</w:t>
            </w:r>
          </w:p>
        </w:tc>
        <w:tc>
          <w:tcPr>
            <w:tcW w:w="3079" w:type="dxa"/>
          </w:tcPr>
          <w:p w:rsidR="00F22FB9" w:rsidRDefault="00F22FB9" w:rsidP="006F0DEB">
            <w:pPr>
              <w:pStyle w:val="TableParagraph"/>
              <w:spacing w:before="51"/>
              <w:ind w:left="156" w:right="94"/>
              <w:jc w:val="center"/>
              <w:rPr>
                <w:sz w:val="18"/>
              </w:rPr>
            </w:pPr>
            <w:r>
              <w:rPr>
                <w:sz w:val="18"/>
              </w:rPr>
              <w:t>Indian Computer Emergency Response Team to serve as national agency for incident response.</w:t>
            </w:r>
          </w:p>
          <w:p w:rsidR="00F22FB9" w:rsidRDefault="00F22FB9" w:rsidP="006F0DEB">
            <w:pPr>
              <w:pStyle w:val="TableParagraph"/>
              <w:ind w:left="0"/>
              <w:rPr>
                <w:rFonts w:ascii="Carlito"/>
                <w:sz w:val="17"/>
              </w:rPr>
            </w:pPr>
          </w:p>
          <w:p w:rsidR="00F22FB9" w:rsidRDefault="00F22FB9" w:rsidP="006F0DEB">
            <w:pPr>
              <w:pStyle w:val="TableParagraph"/>
              <w:ind w:left="163" w:right="102" w:hanging="1"/>
              <w:jc w:val="center"/>
              <w:rPr>
                <w:sz w:val="18"/>
              </w:rPr>
            </w:pPr>
            <w:r>
              <w:rPr>
                <w:sz w:val="18"/>
              </w:rPr>
              <w:t>Any service provider, intermediaries, data centres etc.. who fails to prove the information called for or comply with the direction issued by the ICERT.</w:t>
            </w:r>
          </w:p>
        </w:tc>
        <w:tc>
          <w:tcPr>
            <w:tcW w:w="2615" w:type="dxa"/>
          </w:tcPr>
          <w:p w:rsidR="00F22FB9" w:rsidRDefault="00F22FB9" w:rsidP="006F0DEB">
            <w:pPr>
              <w:pStyle w:val="TableParagraph"/>
              <w:ind w:left="0"/>
              <w:rPr>
                <w:rFonts w:ascii="Carlito"/>
                <w:sz w:val="20"/>
              </w:rPr>
            </w:pPr>
          </w:p>
          <w:p w:rsidR="00F22FB9" w:rsidRDefault="00F22FB9" w:rsidP="006F0DEB">
            <w:pPr>
              <w:pStyle w:val="TableParagraph"/>
              <w:ind w:left="0"/>
              <w:rPr>
                <w:rFonts w:ascii="Carlito"/>
                <w:sz w:val="20"/>
              </w:rPr>
            </w:pPr>
          </w:p>
          <w:p w:rsidR="00F22FB9" w:rsidRDefault="00F22FB9" w:rsidP="006F0DEB">
            <w:pPr>
              <w:pStyle w:val="TableParagraph"/>
              <w:spacing w:before="1"/>
              <w:ind w:left="0"/>
              <w:rPr>
                <w:rFonts w:ascii="Carlito"/>
                <w:sz w:val="15"/>
              </w:rPr>
            </w:pPr>
          </w:p>
          <w:p w:rsidR="00F22FB9" w:rsidRDefault="00F22FB9" w:rsidP="006F0DEB">
            <w:pPr>
              <w:pStyle w:val="TableParagraph"/>
              <w:spacing w:before="1"/>
              <w:ind w:left="582" w:right="121" w:hanging="478"/>
              <w:rPr>
                <w:sz w:val="18"/>
              </w:rPr>
            </w:pPr>
            <w:r>
              <w:rPr>
                <w:sz w:val="18"/>
              </w:rPr>
              <w:t>Imprisonment upto 1 year and/or fine upto Rs. 1 lakh</w:t>
            </w:r>
          </w:p>
        </w:tc>
        <w:tc>
          <w:tcPr>
            <w:tcW w:w="2155" w:type="dxa"/>
          </w:tcPr>
          <w:p w:rsidR="00F22FB9" w:rsidRDefault="00F22FB9" w:rsidP="006F0DEB">
            <w:pPr>
              <w:pStyle w:val="TableParagraph"/>
              <w:ind w:left="0"/>
              <w:rPr>
                <w:rFonts w:ascii="Carlito"/>
                <w:sz w:val="20"/>
              </w:rPr>
            </w:pPr>
          </w:p>
          <w:p w:rsidR="00F22FB9" w:rsidRDefault="00F22FB9" w:rsidP="006F0DEB">
            <w:pPr>
              <w:pStyle w:val="TableParagraph"/>
              <w:ind w:left="0"/>
              <w:rPr>
                <w:rFonts w:ascii="Carlito"/>
                <w:sz w:val="20"/>
              </w:rPr>
            </w:pPr>
          </w:p>
          <w:p w:rsidR="00F22FB9" w:rsidRDefault="00F22FB9" w:rsidP="006F0DEB">
            <w:pPr>
              <w:pStyle w:val="TableParagraph"/>
              <w:spacing w:before="1"/>
              <w:ind w:left="0"/>
              <w:rPr>
                <w:rFonts w:ascii="Carlito"/>
                <w:sz w:val="15"/>
              </w:rPr>
            </w:pPr>
          </w:p>
          <w:p w:rsidR="00F22FB9" w:rsidRDefault="00F22FB9" w:rsidP="006F0DEB">
            <w:pPr>
              <w:pStyle w:val="TableParagraph"/>
              <w:spacing w:before="1"/>
              <w:ind w:left="617" w:right="183" w:hanging="515"/>
              <w:rPr>
                <w:sz w:val="18"/>
              </w:rPr>
            </w:pPr>
            <w:r>
              <w:rPr>
                <w:sz w:val="18"/>
              </w:rPr>
              <w:t>Offence is Bailable, Non- Cognizable</w:t>
            </w:r>
          </w:p>
        </w:tc>
      </w:tr>
      <w:tr w:rsidR="00F22FB9" w:rsidTr="006F0DEB">
        <w:trPr>
          <w:trHeight w:val="523"/>
        </w:trPr>
        <w:tc>
          <w:tcPr>
            <w:tcW w:w="1289" w:type="dxa"/>
          </w:tcPr>
          <w:p w:rsidR="00F22FB9" w:rsidRDefault="00F22FB9" w:rsidP="006F0DEB">
            <w:pPr>
              <w:pStyle w:val="TableParagraph"/>
              <w:spacing w:before="154"/>
              <w:ind w:left="177" w:right="113"/>
              <w:jc w:val="center"/>
              <w:rPr>
                <w:sz w:val="18"/>
              </w:rPr>
            </w:pPr>
            <w:r>
              <w:rPr>
                <w:sz w:val="18"/>
              </w:rPr>
              <w:t>Section 71</w:t>
            </w:r>
          </w:p>
        </w:tc>
        <w:tc>
          <w:tcPr>
            <w:tcW w:w="3079" w:type="dxa"/>
          </w:tcPr>
          <w:p w:rsidR="00F22FB9" w:rsidRDefault="00F22FB9" w:rsidP="006F0DEB">
            <w:pPr>
              <w:pStyle w:val="TableParagraph"/>
              <w:spacing w:before="51"/>
              <w:ind w:left="696" w:right="131" w:hanging="488"/>
              <w:rPr>
                <w:sz w:val="18"/>
              </w:rPr>
            </w:pPr>
            <w:r>
              <w:rPr>
                <w:sz w:val="18"/>
              </w:rPr>
              <w:t>Misrepresentation to the Controller to the Certifying Authority</w:t>
            </w:r>
          </w:p>
        </w:tc>
        <w:tc>
          <w:tcPr>
            <w:tcW w:w="2615" w:type="dxa"/>
          </w:tcPr>
          <w:p w:rsidR="00F22FB9" w:rsidRDefault="00F22FB9" w:rsidP="006F0DEB">
            <w:pPr>
              <w:pStyle w:val="TableParagraph"/>
              <w:spacing w:before="51"/>
              <w:ind w:left="462" w:right="161" w:hanging="318"/>
              <w:rPr>
                <w:sz w:val="18"/>
              </w:rPr>
            </w:pPr>
            <w:r>
              <w:rPr>
                <w:sz w:val="18"/>
              </w:rPr>
              <w:t>Imprisonment upto 2 years and/ or fine upto Rs. 1 lakh.</w:t>
            </w:r>
          </w:p>
        </w:tc>
        <w:tc>
          <w:tcPr>
            <w:tcW w:w="2155" w:type="dxa"/>
          </w:tcPr>
          <w:p w:rsidR="00F22FB9" w:rsidRDefault="00F22FB9" w:rsidP="006F0DEB">
            <w:pPr>
              <w:pStyle w:val="TableParagraph"/>
              <w:spacing w:before="51"/>
              <w:ind w:left="596" w:right="182" w:hanging="493"/>
              <w:rPr>
                <w:sz w:val="18"/>
              </w:rPr>
            </w:pPr>
            <w:r>
              <w:rPr>
                <w:sz w:val="18"/>
              </w:rPr>
              <w:t>Offence is Bailable, Non- Cognizable.</w:t>
            </w:r>
          </w:p>
        </w:tc>
      </w:tr>
      <w:tr w:rsidR="00F22FB9" w:rsidTr="006F0DEB">
        <w:trPr>
          <w:trHeight w:val="525"/>
        </w:trPr>
        <w:tc>
          <w:tcPr>
            <w:tcW w:w="1289" w:type="dxa"/>
          </w:tcPr>
          <w:p w:rsidR="00F22FB9" w:rsidRDefault="00F22FB9" w:rsidP="006F0DEB">
            <w:pPr>
              <w:pStyle w:val="TableParagraph"/>
              <w:spacing w:before="156"/>
              <w:ind w:left="177" w:right="113"/>
              <w:jc w:val="center"/>
              <w:rPr>
                <w:sz w:val="18"/>
              </w:rPr>
            </w:pPr>
            <w:r>
              <w:rPr>
                <w:sz w:val="18"/>
              </w:rPr>
              <w:t>Section 72</w:t>
            </w:r>
          </w:p>
        </w:tc>
        <w:tc>
          <w:tcPr>
            <w:tcW w:w="3079" w:type="dxa"/>
          </w:tcPr>
          <w:p w:rsidR="00F22FB9" w:rsidRDefault="00F22FB9" w:rsidP="006F0DEB">
            <w:pPr>
              <w:pStyle w:val="TableParagraph"/>
              <w:spacing w:before="156"/>
              <w:ind w:left="151" w:right="94"/>
              <w:jc w:val="center"/>
              <w:rPr>
                <w:sz w:val="18"/>
              </w:rPr>
            </w:pPr>
            <w:r>
              <w:rPr>
                <w:sz w:val="18"/>
              </w:rPr>
              <w:t>Breach of Confidentiality and privacy</w:t>
            </w:r>
          </w:p>
        </w:tc>
        <w:tc>
          <w:tcPr>
            <w:tcW w:w="2615" w:type="dxa"/>
          </w:tcPr>
          <w:p w:rsidR="00F22FB9" w:rsidRDefault="00F22FB9" w:rsidP="006F0DEB">
            <w:pPr>
              <w:pStyle w:val="TableParagraph"/>
              <w:spacing w:before="51"/>
              <w:ind w:left="560" w:right="85" w:hanging="490"/>
              <w:rPr>
                <w:sz w:val="18"/>
              </w:rPr>
            </w:pPr>
            <w:r>
              <w:rPr>
                <w:sz w:val="18"/>
              </w:rPr>
              <w:t>Imprisonment upto 2 years and/or fine upto Rs. 1 lakh.</w:t>
            </w:r>
          </w:p>
        </w:tc>
        <w:tc>
          <w:tcPr>
            <w:tcW w:w="2155" w:type="dxa"/>
          </w:tcPr>
          <w:p w:rsidR="00F22FB9" w:rsidRDefault="00F22FB9" w:rsidP="006F0DEB">
            <w:pPr>
              <w:pStyle w:val="TableParagraph"/>
              <w:spacing w:before="51"/>
              <w:ind w:left="596" w:right="182" w:hanging="493"/>
              <w:rPr>
                <w:sz w:val="18"/>
              </w:rPr>
            </w:pPr>
            <w:r>
              <w:rPr>
                <w:sz w:val="18"/>
              </w:rPr>
              <w:t>Offence is Bailable, Non- Cognizable.</w:t>
            </w:r>
          </w:p>
        </w:tc>
      </w:tr>
      <w:tr w:rsidR="00F22FB9" w:rsidTr="006F0DEB">
        <w:trPr>
          <w:trHeight w:val="523"/>
        </w:trPr>
        <w:tc>
          <w:tcPr>
            <w:tcW w:w="1289" w:type="dxa"/>
          </w:tcPr>
          <w:p w:rsidR="00F22FB9" w:rsidRDefault="00F22FB9" w:rsidP="006F0DEB">
            <w:pPr>
              <w:pStyle w:val="TableParagraph"/>
              <w:spacing w:before="154"/>
              <w:ind w:left="181" w:right="113"/>
              <w:jc w:val="center"/>
              <w:rPr>
                <w:sz w:val="18"/>
              </w:rPr>
            </w:pPr>
            <w:r>
              <w:rPr>
                <w:sz w:val="18"/>
              </w:rPr>
              <w:t>Section 72-A</w:t>
            </w:r>
          </w:p>
        </w:tc>
        <w:tc>
          <w:tcPr>
            <w:tcW w:w="3079" w:type="dxa"/>
          </w:tcPr>
          <w:p w:rsidR="00F22FB9" w:rsidRDefault="00F22FB9" w:rsidP="006F0DEB">
            <w:pPr>
              <w:pStyle w:val="TableParagraph"/>
              <w:spacing w:before="51"/>
              <w:ind w:left="1028" w:right="107" w:hanging="841"/>
              <w:rPr>
                <w:sz w:val="18"/>
              </w:rPr>
            </w:pPr>
            <w:r>
              <w:rPr>
                <w:sz w:val="18"/>
              </w:rPr>
              <w:t>Disclosure of information in breach of lawful contract</w:t>
            </w:r>
          </w:p>
        </w:tc>
        <w:tc>
          <w:tcPr>
            <w:tcW w:w="2615" w:type="dxa"/>
          </w:tcPr>
          <w:p w:rsidR="00F22FB9" w:rsidRDefault="00F22FB9" w:rsidP="006F0DEB">
            <w:pPr>
              <w:pStyle w:val="TableParagraph"/>
              <w:spacing w:before="51"/>
              <w:ind w:left="560" w:right="85" w:hanging="490"/>
              <w:rPr>
                <w:sz w:val="18"/>
              </w:rPr>
            </w:pPr>
            <w:r>
              <w:rPr>
                <w:sz w:val="18"/>
              </w:rPr>
              <w:t>Imprisonment upto 3 years and/or fine upto Rs. 5 lakh.</w:t>
            </w:r>
          </w:p>
        </w:tc>
        <w:tc>
          <w:tcPr>
            <w:tcW w:w="2155" w:type="dxa"/>
          </w:tcPr>
          <w:p w:rsidR="00F22FB9" w:rsidRDefault="00F22FB9" w:rsidP="006F0DEB">
            <w:pPr>
              <w:pStyle w:val="TableParagraph"/>
              <w:spacing w:before="51"/>
              <w:ind w:left="728" w:right="279" w:hanging="527"/>
              <w:rPr>
                <w:sz w:val="18"/>
              </w:rPr>
            </w:pPr>
            <w:r>
              <w:rPr>
                <w:sz w:val="18"/>
              </w:rPr>
              <w:t>Offence is Cognizable, Bailable</w:t>
            </w:r>
          </w:p>
        </w:tc>
      </w:tr>
      <w:tr w:rsidR="00F22FB9" w:rsidTr="006F0DEB">
        <w:trPr>
          <w:trHeight w:val="523"/>
        </w:trPr>
        <w:tc>
          <w:tcPr>
            <w:tcW w:w="1289" w:type="dxa"/>
          </w:tcPr>
          <w:p w:rsidR="00F22FB9" w:rsidRDefault="00F22FB9" w:rsidP="006F0DEB">
            <w:pPr>
              <w:pStyle w:val="TableParagraph"/>
              <w:spacing w:before="154"/>
              <w:ind w:left="179" w:right="113"/>
              <w:jc w:val="center"/>
              <w:rPr>
                <w:sz w:val="18"/>
              </w:rPr>
            </w:pPr>
            <w:r>
              <w:rPr>
                <w:sz w:val="18"/>
              </w:rPr>
              <w:t>Section 73</w:t>
            </w:r>
          </w:p>
        </w:tc>
        <w:tc>
          <w:tcPr>
            <w:tcW w:w="3079" w:type="dxa"/>
          </w:tcPr>
          <w:p w:rsidR="00F22FB9" w:rsidRDefault="00F22FB9" w:rsidP="006F0DEB">
            <w:pPr>
              <w:pStyle w:val="TableParagraph"/>
              <w:spacing w:before="51"/>
              <w:ind w:left="235" w:right="155" w:firstLine="204"/>
              <w:rPr>
                <w:sz w:val="18"/>
              </w:rPr>
            </w:pPr>
            <w:r>
              <w:rPr>
                <w:sz w:val="18"/>
              </w:rPr>
              <w:t>Publishing electronic Signature Certificate false in certain particulars</w:t>
            </w:r>
          </w:p>
        </w:tc>
        <w:tc>
          <w:tcPr>
            <w:tcW w:w="2615" w:type="dxa"/>
          </w:tcPr>
          <w:p w:rsidR="00F22FB9" w:rsidRDefault="00F22FB9" w:rsidP="006F0DEB">
            <w:pPr>
              <w:pStyle w:val="TableParagraph"/>
              <w:spacing w:before="51"/>
              <w:ind w:left="582" w:right="85" w:hanging="512"/>
              <w:rPr>
                <w:sz w:val="18"/>
              </w:rPr>
            </w:pPr>
            <w:r>
              <w:rPr>
                <w:sz w:val="18"/>
              </w:rPr>
              <w:t>Imprisonment upto 2 years and/or fine upto Rs. 1 lakh</w:t>
            </w:r>
          </w:p>
        </w:tc>
        <w:tc>
          <w:tcPr>
            <w:tcW w:w="2155" w:type="dxa"/>
          </w:tcPr>
          <w:p w:rsidR="00F22FB9" w:rsidRDefault="00F22FB9" w:rsidP="006F0DEB">
            <w:pPr>
              <w:pStyle w:val="TableParagraph"/>
              <w:spacing w:before="51"/>
              <w:ind w:left="596" w:right="182" w:hanging="493"/>
              <w:rPr>
                <w:sz w:val="18"/>
              </w:rPr>
            </w:pPr>
            <w:r>
              <w:rPr>
                <w:sz w:val="18"/>
              </w:rPr>
              <w:t>Offence is Bailable, Non- Cognizable.</w:t>
            </w:r>
          </w:p>
        </w:tc>
      </w:tr>
      <w:tr w:rsidR="00F22FB9" w:rsidTr="006F0DEB">
        <w:trPr>
          <w:trHeight w:val="466"/>
        </w:trPr>
        <w:tc>
          <w:tcPr>
            <w:tcW w:w="1289" w:type="dxa"/>
          </w:tcPr>
          <w:p w:rsidR="00F22FB9" w:rsidRDefault="00F22FB9" w:rsidP="006F0DEB">
            <w:pPr>
              <w:pStyle w:val="TableParagraph"/>
              <w:spacing w:before="154"/>
              <w:ind w:left="177" w:right="113"/>
              <w:jc w:val="center"/>
              <w:rPr>
                <w:sz w:val="18"/>
              </w:rPr>
            </w:pPr>
            <w:r>
              <w:rPr>
                <w:sz w:val="18"/>
              </w:rPr>
              <w:t>Section 74</w:t>
            </w:r>
          </w:p>
        </w:tc>
        <w:tc>
          <w:tcPr>
            <w:tcW w:w="3079" w:type="dxa"/>
          </w:tcPr>
          <w:p w:rsidR="00F22FB9" w:rsidRDefault="00F22FB9" w:rsidP="006F0DEB">
            <w:pPr>
              <w:pStyle w:val="TableParagraph"/>
              <w:spacing w:before="154"/>
              <w:ind w:left="155" w:right="94"/>
              <w:jc w:val="center"/>
              <w:rPr>
                <w:sz w:val="18"/>
              </w:rPr>
            </w:pPr>
            <w:r>
              <w:rPr>
                <w:sz w:val="18"/>
              </w:rPr>
              <w:t>Publication for fraudulent purpose</w:t>
            </w:r>
          </w:p>
        </w:tc>
        <w:tc>
          <w:tcPr>
            <w:tcW w:w="2615" w:type="dxa"/>
          </w:tcPr>
          <w:p w:rsidR="00F22FB9" w:rsidRDefault="00F22FB9" w:rsidP="006F0DEB">
            <w:pPr>
              <w:pStyle w:val="TableParagraph"/>
              <w:spacing w:before="48" w:line="210" w:lineRule="atLeast"/>
              <w:ind w:left="628" w:right="85" w:hanging="558"/>
              <w:rPr>
                <w:sz w:val="18"/>
              </w:rPr>
            </w:pPr>
            <w:r>
              <w:rPr>
                <w:sz w:val="18"/>
              </w:rPr>
              <w:t>Imprisonment upto 2 years and/or fine upt Rs. 1 lakh</w:t>
            </w:r>
          </w:p>
        </w:tc>
        <w:tc>
          <w:tcPr>
            <w:tcW w:w="2155" w:type="dxa"/>
          </w:tcPr>
          <w:p w:rsidR="00F22FB9" w:rsidRDefault="00F22FB9" w:rsidP="006F0DEB">
            <w:pPr>
              <w:pStyle w:val="TableParagraph"/>
              <w:spacing w:before="48" w:line="210" w:lineRule="atLeast"/>
              <w:ind w:left="596" w:right="182" w:hanging="493"/>
              <w:rPr>
                <w:sz w:val="18"/>
              </w:rPr>
            </w:pPr>
            <w:r>
              <w:rPr>
                <w:sz w:val="18"/>
              </w:rPr>
              <w:t>Offence is Bailable, Non- Cognizable.</w:t>
            </w:r>
          </w:p>
        </w:tc>
      </w:tr>
    </w:tbl>
    <w:p w:rsidR="00F22FB9" w:rsidRDefault="00F22FB9" w:rsidP="00F22FB9">
      <w:pPr>
        <w:pStyle w:val="BodyText"/>
        <w:spacing w:before="1"/>
        <w:rPr>
          <w:rFonts w:ascii="Carlito"/>
          <w:sz w:val="16"/>
        </w:rPr>
      </w:pPr>
    </w:p>
    <w:p w:rsidR="00F22FB9" w:rsidRDefault="00F22FB9" w:rsidP="00F22FB9">
      <w:pPr>
        <w:pStyle w:val="Heading2"/>
        <w:numPr>
          <w:ilvl w:val="0"/>
          <w:numId w:val="3"/>
        </w:numPr>
        <w:tabs>
          <w:tab w:val="left" w:pos="3242"/>
        </w:tabs>
        <w:spacing w:before="91" w:line="227" w:lineRule="exact"/>
        <w:ind w:left="3241" w:right="121" w:hanging="3242"/>
        <w:jc w:val="left"/>
      </w:pPr>
      <w:r>
        <w:t>COMPOUNDING OF</w:t>
      </w:r>
      <w:r>
        <w:rPr>
          <w:spacing w:val="-3"/>
        </w:rPr>
        <w:t xml:space="preserve"> </w:t>
      </w:r>
      <w:r>
        <w:t>OFFFENCES</w:t>
      </w:r>
    </w:p>
    <w:p w:rsidR="00F22FB9" w:rsidRDefault="00F22FB9" w:rsidP="00F22FB9">
      <w:pPr>
        <w:pStyle w:val="BodyText"/>
        <w:ind w:left="140" w:right="260" w:firstLine="719"/>
        <w:jc w:val="both"/>
      </w:pPr>
      <w:r>
        <w:t xml:space="preserve">As per Section 77-A of the I. T. Act, any Court of competent jurisdiction may compound offences, other than offences for which the punishment for life or imprisonment for a </w:t>
      </w:r>
      <w:r>
        <w:rPr>
          <w:spacing w:val="3"/>
        </w:rPr>
        <w:t xml:space="preserve">term </w:t>
      </w:r>
      <w:r>
        <w:t>exceeding three years has been provided under the</w:t>
      </w:r>
      <w:r>
        <w:rPr>
          <w:spacing w:val="4"/>
        </w:rPr>
        <w:t xml:space="preserve"> </w:t>
      </w:r>
      <w:r>
        <w:t>Act.</w:t>
      </w:r>
    </w:p>
    <w:p w:rsidR="00F22FB9" w:rsidRDefault="00F22FB9" w:rsidP="00F22FB9">
      <w:pPr>
        <w:pStyle w:val="Heading3"/>
        <w:spacing w:line="228" w:lineRule="exact"/>
        <w:ind w:left="860"/>
      </w:pPr>
      <w:r>
        <w:t>No offence shall be compounded if;</w:t>
      </w:r>
    </w:p>
    <w:p w:rsidR="00F22FB9" w:rsidRDefault="00F22FB9" w:rsidP="00F22FB9">
      <w:pPr>
        <w:pStyle w:val="ListParagraph"/>
        <w:numPr>
          <w:ilvl w:val="0"/>
          <w:numId w:val="2"/>
        </w:numPr>
        <w:tabs>
          <w:tab w:val="left" w:pos="860"/>
          <w:tab w:val="left" w:pos="861"/>
        </w:tabs>
        <w:ind w:right="447"/>
        <w:rPr>
          <w:sz w:val="20"/>
        </w:rPr>
      </w:pPr>
      <w:r>
        <w:rPr>
          <w:sz w:val="20"/>
        </w:rPr>
        <w:t>The accused is, by reason of his previous conviction, is liable to either enhanced punishment or to</w:t>
      </w:r>
      <w:r>
        <w:rPr>
          <w:spacing w:val="-35"/>
          <w:sz w:val="20"/>
        </w:rPr>
        <w:t xml:space="preserve"> </w:t>
      </w:r>
      <w:r>
        <w:rPr>
          <w:sz w:val="20"/>
        </w:rPr>
        <w:t>the punishment of different kind;</w:t>
      </w:r>
      <w:r>
        <w:rPr>
          <w:spacing w:val="-3"/>
          <w:sz w:val="20"/>
        </w:rPr>
        <w:t xml:space="preserve"> </w:t>
      </w:r>
      <w:r>
        <w:rPr>
          <w:sz w:val="20"/>
        </w:rPr>
        <w:t>OR</w:t>
      </w:r>
    </w:p>
    <w:p w:rsidR="00F22FB9" w:rsidRDefault="00F22FB9" w:rsidP="00F22FB9">
      <w:pPr>
        <w:pStyle w:val="ListParagraph"/>
        <w:numPr>
          <w:ilvl w:val="0"/>
          <w:numId w:val="2"/>
        </w:numPr>
        <w:tabs>
          <w:tab w:val="left" w:pos="860"/>
          <w:tab w:val="left" w:pos="861"/>
        </w:tabs>
        <w:spacing w:line="228" w:lineRule="exact"/>
        <w:ind w:hanging="361"/>
        <w:rPr>
          <w:sz w:val="20"/>
        </w:rPr>
      </w:pPr>
      <w:r>
        <w:rPr>
          <w:sz w:val="20"/>
        </w:rPr>
        <w:t>Offence affects the socio economic conditions of the country;</w:t>
      </w:r>
      <w:r>
        <w:rPr>
          <w:spacing w:val="-6"/>
          <w:sz w:val="20"/>
        </w:rPr>
        <w:t xml:space="preserve"> </w:t>
      </w:r>
      <w:r>
        <w:rPr>
          <w:sz w:val="20"/>
        </w:rPr>
        <w:t>OR</w:t>
      </w:r>
    </w:p>
    <w:p w:rsidR="00F22FB9" w:rsidRDefault="00F22FB9" w:rsidP="00F22FB9">
      <w:pPr>
        <w:pStyle w:val="ListParagraph"/>
        <w:numPr>
          <w:ilvl w:val="0"/>
          <w:numId w:val="2"/>
        </w:numPr>
        <w:tabs>
          <w:tab w:val="left" w:pos="860"/>
          <w:tab w:val="left" w:pos="861"/>
        </w:tabs>
        <w:ind w:hanging="361"/>
        <w:rPr>
          <w:sz w:val="20"/>
        </w:rPr>
      </w:pPr>
      <w:r>
        <w:rPr>
          <w:sz w:val="20"/>
        </w:rPr>
        <w:t>Offence has been committed against a child below the age of 18 years;</w:t>
      </w:r>
      <w:r>
        <w:rPr>
          <w:spacing w:val="-9"/>
          <w:sz w:val="20"/>
        </w:rPr>
        <w:t xml:space="preserve"> </w:t>
      </w:r>
      <w:r>
        <w:rPr>
          <w:sz w:val="20"/>
        </w:rPr>
        <w:t>OR</w:t>
      </w:r>
    </w:p>
    <w:p w:rsidR="00F22FB9" w:rsidRDefault="00F22FB9" w:rsidP="00F22FB9">
      <w:pPr>
        <w:pStyle w:val="ListParagraph"/>
        <w:numPr>
          <w:ilvl w:val="0"/>
          <w:numId w:val="2"/>
        </w:numPr>
        <w:tabs>
          <w:tab w:val="left" w:pos="860"/>
          <w:tab w:val="left" w:pos="861"/>
        </w:tabs>
        <w:ind w:hanging="361"/>
        <w:rPr>
          <w:sz w:val="20"/>
        </w:rPr>
      </w:pPr>
      <w:r>
        <w:rPr>
          <w:sz w:val="20"/>
        </w:rPr>
        <w:t>Offence has been committed against a</w:t>
      </w:r>
      <w:r>
        <w:rPr>
          <w:spacing w:val="2"/>
          <w:sz w:val="20"/>
        </w:rPr>
        <w:t xml:space="preserve"> </w:t>
      </w:r>
      <w:r>
        <w:rPr>
          <w:sz w:val="20"/>
        </w:rPr>
        <w:t>woman.</w:t>
      </w:r>
    </w:p>
    <w:p w:rsidR="00F22FB9" w:rsidRDefault="00F22FB9" w:rsidP="00F22FB9">
      <w:pPr>
        <w:pStyle w:val="BodyText"/>
      </w:pPr>
    </w:p>
    <w:p w:rsidR="00F22FB9" w:rsidRDefault="00F22FB9" w:rsidP="00F22FB9">
      <w:pPr>
        <w:pStyle w:val="BodyText"/>
        <w:ind w:left="140" w:right="258" w:firstLine="719"/>
        <w:jc w:val="both"/>
      </w:pPr>
      <w:r>
        <w:t>The person accused of an offence under this Act may file an application for compounding in the Court in which offence is pending for trial and the provisions of Sections 265-B and 265-C of Cr. P. C. Shall apply.</w:t>
      </w:r>
    </w:p>
    <w:p w:rsidR="00F22FB9" w:rsidRDefault="00F22FB9" w:rsidP="00F22FB9">
      <w:pPr>
        <w:pStyle w:val="BodyText"/>
        <w:spacing w:before="4"/>
      </w:pPr>
    </w:p>
    <w:p w:rsidR="00F22FB9" w:rsidRDefault="00F22FB9" w:rsidP="00F22FB9">
      <w:pPr>
        <w:pStyle w:val="Heading2"/>
        <w:numPr>
          <w:ilvl w:val="0"/>
          <w:numId w:val="3"/>
        </w:numPr>
        <w:tabs>
          <w:tab w:val="left" w:pos="4149"/>
        </w:tabs>
        <w:ind w:left="4149" w:right="119" w:hanging="4149"/>
        <w:jc w:val="left"/>
      </w:pPr>
      <w:r>
        <w:t>CONCLUSION</w:t>
      </w:r>
    </w:p>
    <w:p w:rsidR="00F22FB9" w:rsidRDefault="00F22FB9" w:rsidP="00F22FB9">
      <w:pPr>
        <w:ind w:left="140" w:right="254" w:firstLine="719"/>
        <w:jc w:val="both"/>
        <w:rPr>
          <w:b/>
          <w:i/>
          <w:sz w:val="20"/>
        </w:rPr>
      </w:pPr>
      <w:r>
        <w:rPr>
          <w:sz w:val="20"/>
        </w:rPr>
        <w:t xml:space="preserve">The Information Technology Act is the sole savior to combat cyber crime in nature. Though offences where computer is either tool or target also falls under the Indian Penal Code and other legislation of the Nation, but this Act is a special act to tackle the problem of Cyber Crime. The Act was sharpend by the Amendment  Act of 2008, yet the Act is still in its budding stage. There is grave underreporting of cyber crimes in the nation. Cyber Crime is committed every now and then, but is hardly reported. The cases of cyber crime that reaches to the Court of Law are therefore very few. There are practical difficulties in collecting, storing and appreciating Digital Evidence. Thus the Act has miles to go and promises to keep of the victim of cyber crimes.  To  conclude I would quote the words of noted cyber law expert in the nation and Supreme Court advocate Mr. </w:t>
      </w:r>
      <w:r>
        <w:rPr>
          <w:sz w:val="20"/>
        </w:rPr>
        <w:lastRenderedPageBreak/>
        <w:t>Pavan Duggal, “</w:t>
      </w:r>
      <w:r>
        <w:rPr>
          <w:b/>
          <w:i/>
          <w:sz w:val="20"/>
        </w:rPr>
        <w:t>While the lawmakers have to be complemented for their admirable work removing various deficiencies in the Indian Cyberlaw and making it technologically neutral, yet it appears that there has been  a major mismatch between the expectation of the nation and the resultant effect of the amended legislation. The most bizarre and startling aspect of the new amendments is that these amendments seek to make the Indian cyberlaw a cyber crime friendly legislation; - a legislation that goes extremely soft on cyber</w:t>
      </w:r>
      <w:r>
        <w:rPr>
          <w:b/>
          <w:i/>
          <w:spacing w:val="42"/>
          <w:sz w:val="20"/>
        </w:rPr>
        <w:t xml:space="preserve"> </w:t>
      </w:r>
      <w:r>
        <w:rPr>
          <w:b/>
          <w:i/>
          <w:sz w:val="20"/>
        </w:rPr>
        <w:t>criminals,</w:t>
      </w:r>
    </w:p>
    <w:p w:rsidR="00F22FB9" w:rsidRDefault="00F22FB9" w:rsidP="00F22FB9">
      <w:pPr>
        <w:jc w:val="both"/>
        <w:rPr>
          <w:sz w:val="20"/>
        </w:rPr>
        <w:sectPr w:rsidR="00F22FB9" w:rsidSect="00F22FB9">
          <w:type w:val="continuous"/>
          <w:pgSz w:w="11910" w:h="16840"/>
          <w:pgMar w:top="1480" w:right="1180" w:bottom="280" w:left="1300" w:header="720" w:footer="720" w:gutter="0"/>
          <w:cols w:space="720"/>
        </w:sectPr>
      </w:pPr>
    </w:p>
    <w:p w:rsidR="00F22FB9" w:rsidRDefault="00F22FB9" w:rsidP="00F22FB9">
      <w:pPr>
        <w:pStyle w:val="Heading3"/>
        <w:spacing w:before="82" w:line="237" w:lineRule="auto"/>
        <w:ind w:right="258"/>
        <w:rPr>
          <w:b w:val="0"/>
          <w:i w:val="0"/>
        </w:rPr>
      </w:pPr>
      <w:r>
        <w:lastRenderedPageBreak/>
        <w:t>with a soft heart; a legislation that chooses to encourage cyber criminals by lessening the quantum of punishment accorded to them under the existing law; ….. a legislation which makes a majority of cybercrimes stipulated under the IT Act as bailable offences; a legislation that is likely to pave way for India to become the potential cyber crime capital of the</w:t>
      </w:r>
      <w:r>
        <w:rPr>
          <w:spacing w:val="-7"/>
        </w:rPr>
        <w:t xml:space="preserve"> </w:t>
      </w:r>
      <w:r>
        <w:t>world……</w:t>
      </w:r>
      <w:r>
        <w:rPr>
          <w:b w:val="0"/>
          <w:i w:val="0"/>
        </w:rPr>
        <w:t>”</w:t>
      </w:r>
    </w:p>
    <w:p w:rsidR="00634EFE" w:rsidRDefault="00634EFE" w:rsidP="00175EA0">
      <w:pPr>
        <w:pStyle w:val="BodyText"/>
        <w:tabs>
          <w:tab w:val="left" w:pos="6298"/>
        </w:tabs>
        <w:spacing w:before="2"/>
        <w:jc w:val="center"/>
        <w:rPr>
          <w:sz w:val="9"/>
        </w:rPr>
      </w:pPr>
    </w:p>
    <w:sectPr w:rsidR="00634EFE" w:rsidSect="00F22FB9">
      <w:type w:val="continuous"/>
      <w:pgSz w:w="11910" w:h="16840"/>
      <w:pgMar w:top="1360" w:right="118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7E6" w:rsidRDefault="00E047E6" w:rsidP="00F22FB9">
      <w:r>
        <w:separator/>
      </w:r>
    </w:p>
  </w:endnote>
  <w:endnote w:type="continuationSeparator" w:id="1">
    <w:p w:rsidR="00E047E6" w:rsidRDefault="00E047E6" w:rsidP="00F22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7E6" w:rsidRDefault="00E047E6" w:rsidP="00F22FB9">
      <w:r>
        <w:separator/>
      </w:r>
    </w:p>
  </w:footnote>
  <w:footnote w:type="continuationSeparator" w:id="1">
    <w:p w:rsidR="00E047E6" w:rsidRDefault="00E047E6" w:rsidP="00F22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B9" w:rsidRDefault="00F22FB9" w:rsidP="00F22FB9">
    <w:pPr>
      <w:pStyle w:val="BodyText"/>
      <w:ind w:left="544" w:right="661"/>
      <w:jc w:val="center"/>
    </w:pPr>
    <w:r>
      <w:t>TABLE II</w:t>
    </w:r>
  </w:p>
  <w:p w:rsidR="00F22FB9" w:rsidRDefault="00F22FB9" w:rsidP="00F22FB9">
    <w:pPr>
      <w:pStyle w:val="BodyText"/>
      <w:spacing w:before="7"/>
      <w:rPr>
        <w:sz w:val="5"/>
      </w:rPr>
    </w:pPr>
  </w:p>
  <w:tbl>
    <w:tblPr>
      <w:tblW w:w="0" w:type="auto"/>
      <w:tblInd w:w="343" w:type="dxa"/>
      <w:tblLayout w:type="fixed"/>
      <w:tblCellMar>
        <w:left w:w="0" w:type="dxa"/>
        <w:right w:w="0" w:type="dxa"/>
      </w:tblCellMar>
      <w:tblLook w:val="01E0"/>
    </w:tblPr>
    <w:tblGrid>
      <w:gridCol w:w="1553"/>
      <w:gridCol w:w="2432"/>
      <w:gridCol w:w="2364"/>
      <w:gridCol w:w="2642"/>
    </w:tblGrid>
    <w:tr w:rsidR="00F22FB9" w:rsidTr="006F0DEB">
      <w:trPr>
        <w:trHeight w:val="199"/>
      </w:trPr>
      <w:tc>
        <w:tcPr>
          <w:tcW w:w="1553" w:type="dxa"/>
        </w:tcPr>
        <w:p w:rsidR="00F22FB9" w:rsidRDefault="00F22FB9" w:rsidP="006F0DEB">
          <w:pPr>
            <w:pStyle w:val="TableParagraph"/>
            <w:spacing w:line="179" w:lineRule="exact"/>
            <w:ind w:left="200"/>
            <w:rPr>
              <w:sz w:val="18"/>
            </w:rPr>
          </w:pPr>
          <w:r>
            <w:rPr>
              <w:sz w:val="18"/>
            </w:rPr>
            <w:t>Section</w:t>
          </w:r>
        </w:p>
      </w:tc>
      <w:tc>
        <w:tcPr>
          <w:tcW w:w="2432" w:type="dxa"/>
        </w:tcPr>
        <w:p w:rsidR="00F22FB9" w:rsidRDefault="00F22FB9" w:rsidP="006F0DEB">
          <w:pPr>
            <w:pStyle w:val="TableParagraph"/>
            <w:spacing w:line="179" w:lineRule="exact"/>
            <w:ind w:left="792" w:right="1020"/>
            <w:jc w:val="center"/>
            <w:rPr>
              <w:sz w:val="18"/>
            </w:rPr>
          </w:pPr>
          <w:r>
            <w:rPr>
              <w:sz w:val="18"/>
            </w:rPr>
            <w:t>Offence</w:t>
          </w:r>
        </w:p>
      </w:tc>
      <w:tc>
        <w:tcPr>
          <w:tcW w:w="2364" w:type="dxa"/>
        </w:tcPr>
        <w:p w:rsidR="00F22FB9" w:rsidRDefault="00F22FB9" w:rsidP="006F0DEB">
          <w:pPr>
            <w:pStyle w:val="TableParagraph"/>
            <w:spacing w:line="179" w:lineRule="exact"/>
            <w:ind w:left="1042"/>
            <w:rPr>
              <w:sz w:val="18"/>
            </w:rPr>
          </w:pPr>
          <w:r>
            <w:rPr>
              <w:sz w:val="18"/>
            </w:rPr>
            <w:t>Punishment</w:t>
          </w:r>
        </w:p>
      </w:tc>
      <w:tc>
        <w:tcPr>
          <w:tcW w:w="2642" w:type="dxa"/>
        </w:tcPr>
        <w:p w:rsidR="00F22FB9" w:rsidRDefault="00F22FB9" w:rsidP="006F0DEB">
          <w:pPr>
            <w:pStyle w:val="TableParagraph"/>
            <w:spacing w:line="179" w:lineRule="exact"/>
            <w:ind w:left="471"/>
            <w:rPr>
              <w:sz w:val="18"/>
            </w:rPr>
          </w:pPr>
          <w:r>
            <w:rPr>
              <w:sz w:val="18"/>
            </w:rPr>
            <w:t>Bailability &amp; Congizability</w:t>
          </w:r>
        </w:p>
      </w:tc>
    </w:tr>
  </w:tbl>
  <w:p w:rsidR="00F22FB9" w:rsidRDefault="00F22FB9" w:rsidP="00F22FB9">
    <w:pPr>
      <w:pStyle w:val="BodyText"/>
      <w:rPr>
        <w:sz w:val="16"/>
      </w:rPr>
    </w:pPr>
    <w:r w:rsidRPr="00634EFE">
      <w:pict>
        <v:rect id="_x0000_s2049" style="position:absolute;margin-left:1in;margin-top:11.2pt;width:2in;height:.7pt;z-index:-251658240;mso-wrap-distance-left:0;mso-wrap-distance-right:0;mso-position-horizontal-relative:page;mso-position-vertical-relative:text" fillcolor="black" stroked="f">
          <w10:wrap type="topAndBottom" anchorx="page"/>
        </v:rect>
      </w:pict>
    </w:r>
  </w:p>
  <w:p w:rsidR="00F22FB9" w:rsidRDefault="00F22F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984"/>
    <w:multiLevelType w:val="hybridMultilevel"/>
    <w:tmpl w:val="D8A0EFD2"/>
    <w:lvl w:ilvl="0" w:tplc="D7C08BC4">
      <w:start w:val="10"/>
      <w:numFmt w:val="upperRoman"/>
      <w:lvlText w:val="%1"/>
      <w:lvlJc w:val="left"/>
      <w:pPr>
        <w:ind w:left="3234" w:hanging="195"/>
        <w:jc w:val="right"/>
      </w:pPr>
      <w:rPr>
        <w:rFonts w:ascii="Times New Roman" w:eastAsia="Times New Roman" w:hAnsi="Times New Roman" w:cs="Times New Roman" w:hint="default"/>
        <w:b/>
        <w:bCs/>
        <w:w w:val="99"/>
        <w:sz w:val="20"/>
        <w:szCs w:val="20"/>
        <w:lang w:val="en-US" w:eastAsia="en-US" w:bidi="ar-SA"/>
      </w:rPr>
    </w:lvl>
    <w:lvl w:ilvl="1" w:tplc="540A92AE">
      <w:numFmt w:val="bullet"/>
      <w:lvlText w:val="•"/>
      <w:lvlJc w:val="left"/>
      <w:pPr>
        <w:ind w:left="3858" w:hanging="195"/>
      </w:pPr>
      <w:rPr>
        <w:rFonts w:hint="default"/>
        <w:lang w:val="en-US" w:eastAsia="en-US" w:bidi="ar-SA"/>
      </w:rPr>
    </w:lvl>
    <w:lvl w:ilvl="2" w:tplc="9B965838">
      <w:numFmt w:val="bullet"/>
      <w:lvlText w:val="•"/>
      <w:lvlJc w:val="left"/>
      <w:pPr>
        <w:ind w:left="4477" w:hanging="195"/>
      </w:pPr>
      <w:rPr>
        <w:rFonts w:hint="default"/>
        <w:lang w:val="en-US" w:eastAsia="en-US" w:bidi="ar-SA"/>
      </w:rPr>
    </w:lvl>
    <w:lvl w:ilvl="3" w:tplc="ED765DD2">
      <w:numFmt w:val="bullet"/>
      <w:lvlText w:val="•"/>
      <w:lvlJc w:val="left"/>
      <w:pPr>
        <w:ind w:left="5095" w:hanging="195"/>
      </w:pPr>
      <w:rPr>
        <w:rFonts w:hint="default"/>
        <w:lang w:val="en-US" w:eastAsia="en-US" w:bidi="ar-SA"/>
      </w:rPr>
    </w:lvl>
    <w:lvl w:ilvl="4" w:tplc="CCA0C5C6">
      <w:numFmt w:val="bullet"/>
      <w:lvlText w:val="•"/>
      <w:lvlJc w:val="left"/>
      <w:pPr>
        <w:ind w:left="5714" w:hanging="195"/>
      </w:pPr>
      <w:rPr>
        <w:rFonts w:hint="default"/>
        <w:lang w:val="en-US" w:eastAsia="en-US" w:bidi="ar-SA"/>
      </w:rPr>
    </w:lvl>
    <w:lvl w:ilvl="5" w:tplc="D46E03AC">
      <w:numFmt w:val="bullet"/>
      <w:lvlText w:val="•"/>
      <w:lvlJc w:val="left"/>
      <w:pPr>
        <w:ind w:left="6333" w:hanging="195"/>
      </w:pPr>
      <w:rPr>
        <w:rFonts w:hint="default"/>
        <w:lang w:val="en-US" w:eastAsia="en-US" w:bidi="ar-SA"/>
      </w:rPr>
    </w:lvl>
    <w:lvl w:ilvl="6" w:tplc="442CC3DA">
      <w:numFmt w:val="bullet"/>
      <w:lvlText w:val="•"/>
      <w:lvlJc w:val="left"/>
      <w:pPr>
        <w:ind w:left="6951" w:hanging="195"/>
      </w:pPr>
      <w:rPr>
        <w:rFonts w:hint="default"/>
        <w:lang w:val="en-US" w:eastAsia="en-US" w:bidi="ar-SA"/>
      </w:rPr>
    </w:lvl>
    <w:lvl w:ilvl="7" w:tplc="384C1994">
      <w:numFmt w:val="bullet"/>
      <w:lvlText w:val="•"/>
      <w:lvlJc w:val="left"/>
      <w:pPr>
        <w:ind w:left="7570" w:hanging="195"/>
      </w:pPr>
      <w:rPr>
        <w:rFonts w:hint="default"/>
        <w:lang w:val="en-US" w:eastAsia="en-US" w:bidi="ar-SA"/>
      </w:rPr>
    </w:lvl>
    <w:lvl w:ilvl="8" w:tplc="BCA81574">
      <w:numFmt w:val="bullet"/>
      <w:lvlText w:val="•"/>
      <w:lvlJc w:val="left"/>
      <w:pPr>
        <w:ind w:left="8189" w:hanging="195"/>
      </w:pPr>
      <w:rPr>
        <w:rFonts w:hint="default"/>
        <w:lang w:val="en-US" w:eastAsia="en-US" w:bidi="ar-SA"/>
      </w:rPr>
    </w:lvl>
  </w:abstractNum>
  <w:abstractNum w:abstractNumId="1">
    <w:nsid w:val="13125BC3"/>
    <w:multiLevelType w:val="hybridMultilevel"/>
    <w:tmpl w:val="FCDE679A"/>
    <w:lvl w:ilvl="0" w:tplc="020E1036">
      <w:numFmt w:val="bullet"/>
      <w:lvlText w:val=""/>
      <w:lvlJc w:val="left"/>
      <w:pPr>
        <w:ind w:left="860" w:hanging="360"/>
      </w:pPr>
      <w:rPr>
        <w:rFonts w:ascii="Symbol" w:eastAsia="Symbol" w:hAnsi="Symbol" w:cs="Symbol" w:hint="default"/>
        <w:w w:val="99"/>
        <w:sz w:val="20"/>
        <w:szCs w:val="20"/>
        <w:lang w:val="en-US" w:eastAsia="en-US" w:bidi="ar-SA"/>
      </w:rPr>
    </w:lvl>
    <w:lvl w:ilvl="1" w:tplc="5C8CCF2E">
      <w:numFmt w:val="bullet"/>
      <w:lvlText w:val=""/>
      <w:lvlJc w:val="left"/>
      <w:pPr>
        <w:ind w:left="1580" w:hanging="360"/>
      </w:pPr>
      <w:rPr>
        <w:rFonts w:ascii="Symbol" w:eastAsia="Symbol" w:hAnsi="Symbol" w:cs="Symbol" w:hint="default"/>
        <w:w w:val="99"/>
        <w:sz w:val="20"/>
        <w:szCs w:val="20"/>
        <w:lang w:val="en-US" w:eastAsia="en-US" w:bidi="ar-SA"/>
      </w:rPr>
    </w:lvl>
    <w:lvl w:ilvl="2" w:tplc="B35C4548">
      <w:numFmt w:val="bullet"/>
      <w:lvlText w:val="•"/>
      <w:lvlJc w:val="left"/>
      <w:pPr>
        <w:ind w:left="2451" w:hanging="360"/>
      </w:pPr>
      <w:rPr>
        <w:rFonts w:hint="default"/>
        <w:lang w:val="en-US" w:eastAsia="en-US" w:bidi="ar-SA"/>
      </w:rPr>
    </w:lvl>
    <w:lvl w:ilvl="3" w:tplc="4CD4F544">
      <w:numFmt w:val="bullet"/>
      <w:lvlText w:val="•"/>
      <w:lvlJc w:val="left"/>
      <w:pPr>
        <w:ind w:left="3323" w:hanging="360"/>
      </w:pPr>
      <w:rPr>
        <w:rFonts w:hint="default"/>
        <w:lang w:val="en-US" w:eastAsia="en-US" w:bidi="ar-SA"/>
      </w:rPr>
    </w:lvl>
    <w:lvl w:ilvl="4" w:tplc="F0660ADE">
      <w:numFmt w:val="bullet"/>
      <w:lvlText w:val="•"/>
      <w:lvlJc w:val="left"/>
      <w:pPr>
        <w:ind w:left="4195" w:hanging="360"/>
      </w:pPr>
      <w:rPr>
        <w:rFonts w:hint="default"/>
        <w:lang w:val="en-US" w:eastAsia="en-US" w:bidi="ar-SA"/>
      </w:rPr>
    </w:lvl>
    <w:lvl w:ilvl="5" w:tplc="694E3FC0">
      <w:numFmt w:val="bullet"/>
      <w:lvlText w:val="•"/>
      <w:lvlJc w:val="left"/>
      <w:pPr>
        <w:ind w:left="5067" w:hanging="360"/>
      </w:pPr>
      <w:rPr>
        <w:rFonts w:hint="default"/>
        <w:lang w:val="en-US" w:eastAsia="en-US" w:bidi="ar-SA"/>
      </w:rPr>
    </w:lvl>
    <w:lvl w:ilvl="6" w:tplc="37AE7BEC">
      <w:numFmt w:val="bullet"/>
      <w:lvlText w:val="•"/>
      <w:lvlJc w:val="left"/>
      <w:pPr>
        <w:ind w:left="5939" w:hanging="360"/>
      </w:pPr>
      <w:rPr>
        <w:rFonts w:hint="default"/>
        <w:lang w:val="en-US" w:eastAsia="en-US" w:bidi="ar-SA"/>
      </w:rPr>
    </w:lvl>
    <w:lvl w:ilvl="7" w:tplc="A630F822">
      <w:numFmt w:val="bullet"/>
      <w:lvlText w:val="•"/>
      <w:lvlJc w:val="left"/>
      <w:pPr>
        <w:ind w:left="6810" w:hanging="360"/>
      </w:pPr>
      <w:rPr>
        <w:rFonts w:hint="default"/>
        <w:lang w:val="en-US" w:eastAsia="en-US" w:bidi="ar-SA"/>
      </w:rPr>
    </w:lvl>
    <w:lvl w:ilvl="8" w:tplc="F6D880EC">
      <w:numFmt w:val="bullet"/>
      <w:lvlText w:val="•"/>
      <w:lvlJc w:val="left"/>
      <w:pPr>
        <w:ind w:left="7682" w:hanging="360"/>
      </w:pPr>
      <w:rPr>
        <w:rFonts w:hint="default"/>
        <w:lang w:val="en-US" w:eastAsia="en-US" w:bidi="ar-SA"/>
      </w:rPr>
    </w:lvl>
  </w:abstractNum>
  <w:abstractNum w:abstractNumId="2">
    <w:nsid w:val="1F9B3627"/>
    <w:multiLevelType w:val="hybridMultilevel"/>
    <w:tmpl w:val="4C5AA560"/>
    <w:lvl w:ilvl="0" w:tplc="F93CF5FC">
      <w:start w:val="1"/>
      <w:numFmt w:val="decimal"/>
      <w:lvlText w:val="%1."/>
      <w:lvlJc w:val="left"/>
      <w:pPr>
        <w:ind w:left="860" w:hanging="360"/>
        <w:jc w:val="left"/>
      </w:pPr>
      <w:rPr>
        <w:rFonts w:ascii="Times New Roman" w:eastAsia="Times New Roman" w:hAnsi="Times New Roman" w:cs="Times New Roman" w:hint="default"/>
        <w:spacing w:val="0"/>
        <w:w w:val="99"/>
        <w:sz w:val="20"/>
        <w:szCs w:val="20"/>
        <w:lang w:val="en-US" w:eastAsia="en-US" w:bidi="ar-SA"/>
      </w:rPr>
    </w:lvl>
    <w:lvl w:ilvl="1" w:tplc="6C2413C0">
      <w:start w:val="1"/>
      <w:numFmt w:val="decimal"/>
      <w:lvlText w:val="%2."/>
      <w:lvlJc w:val="left"/>
      <w:pPr>
        <w:ind w:left="1580" w:hanging="360"/>
        <w:jc w:val="left"/>
      </w:pPr>
      <w:rPr>
        <w:rFonts w:ascii="Times New Roman" w:eastAsia="Times New Roman" w:hAnsi="Times New Roman" w:cs="Times New Roman" w:hint="default"/>
        <w:spacing w:val="0"/>
        <w:w w:val="99"/>
        <w:sz w:val="20"/>
        <w:szCs w:val="20"/>
        <w:lang w:val="en-US" w:eastAsia="en-US" w:bidi="ar-SA"/>
      </w:rPr>
    </w:lvl>
    <w:lvl w:ilvl="2" w:tplc="19D4221A">
      <w:numFmt w:val="bullet"/>
      <w:lvlText w:val="•"/>
      <w:lvlJc w:val="left"/>
      <w:pPr>
        <w:ind w:left="2451" w:hanging="360"/>
      </w:pPr>
      <w:rPr>
        <w:rFonts w:hint="default"/>
        <w:lang w:val="en-US" w:eastAsia="en-US" w:bidi="ar-SA"/>
      </w:rPr>
    </w:lvl>
    <w:lvl w:ilvl="3" w:tplc="9C3ACCD0">
      <w:numFmt w:val="bullet"/>
      <w:lvlText w:val="•"/>
      <w:lvlJc w:val="left"/>
      <w:pPr>
        <w:ind w:left="3323" w:hanging="360"/>
      </w:pPr>
      <w:rPr>
        <w:rFonts w:hint="default"/>
        <w:lang w:val="en-US" w:eastAsia="en-US" w:bidi="ar-SA"/>
      </w:rPr>
    </w:lvl>
    <w:lvl w:ilvl="4" w:tplc="06DC663C">
      <w:numFmt w:val="bullet"/>
      <w:lvlText w:val="•"/>
      <w:lvlJc w:val="left"/>
      <w:pPr>
        <w:ind w:left="4195" w:hanging="360"/>
      </w:pPr>
      <w:rPr>
        <w:rFonts w:hint="default"/>
        <w:lang w:val="en-US" w:eastAsia="en-US" w:bidi="ar-SA"/>
      </w:rPr>
    </w:lvl>
    <w:lvl w:ilvl="5" w:tplc="7F9AC158">
      <w:numFmt w:val="bullet"/>
      <w:lvlText w:val="•"/>
      <w:lvlJc w:val="left"/>
      <w:pPr>
        <w:ind w:left="5067" w:hanging="360"/>
      </w:pPr>
      <w:rPr>
        <w:rFonts w:hint="default"/>
        <w:lang w:val="en-US" w:eastAsia="en-US" w:bidi="ar-SA"/>
      </w:rPr>
    </w:lvl>
    <w:lvl w:ilvl="6" w:tplc="DDA0F2EA">
      <w:numFmt w:val="bullet"/>
      <w:lvlText w:val="•"/>
      <w:lvlJc w:val="left"/>
      <w:pPr>
        <w:ind w:left="5939" w:hanging="360"/>
      </w:pPr>
      <w:rPr>
        <w:rFonts w:hint="default"/>
        <w:lang w:val="en-US" w:eastAsia="en-US" w:bidi="ar-SA"/>
      </w:rPr>
    </w:lvl>
    <w:lvl w:ilvl="7" w:tplc="7CF42398">
      <w:numFmt w:val="bullet"/>
      <w:lvlText w:val="•"/>
      <w:lvlJc w:val="left"/>
      <w:pPr>
        <w:ind w:left="6810" w:hanging="360"/>
      </w:pPr>
      <w:rPr>
        <w:rFonts w:hint="default"/>
        <w:lang w:val="en-US" w:eastAsia="en-US" w:bidi="ar-SA"/>
      </w:rPr>
    </w:lvl>
    <w:lvl w:ilvl="8" w:tplc="E0F24FA6">
      <w:numFmt w:val="bullet"/>
      <w:lvlText w:val="•"/>
      <w:lvlJc w:val="left"/>
      <w:pPr>
        <w:ind w:left="7682" w:hanging="360"/>
      </w:pPr>
      <w:rPr>
        <w:rFonts w:hint="default"/>
        <w:lang w:val="en-US" w:eastAsia="en-US" w:bidi="ar-SA"/>
      </w:rPr>
    </w:lvl>
  </w:abstractNum>
  <w:abstractNum w:abstractNumId="3">
    <w:nsid w:val="2ED44371"/>
    <w:multiLevelType w:val="hybridMultilevel"/>
    <w:tmpl w:val="153A8E94"/>
    <w:lvl w:ilvl="0" w:tplc="687264C4">
      <w:start w:val="1"/>
      <w:numFmt w:val="decimal"/>
      <w:lvlText w:val="%1."/>
      <w:lvlJc w:val="left"/>
      <w:pPr>
        <w:ind w:left="860" w:hanging="360"/>
        <w:jc w:val="left"/>
      </w:pPr>
      <w:rPr>
        <w:rFonts w:ascii="Times New Roman" w:eastAsia="Times New Roman" w:hAnsi="Times New Roman" w:cs="Times New Roman" w:hint="default"/>
        <w:spacing w:val="0"/>
        <w:w w:val="99"/>
        <w:sz w:val="20"/>
        <w:szCs w:val="20"/>
        <w:lang w:val="en-US" w:eastAsia="en-US" w:bidi="ar-SA"/>
      </w:rPr>
    </w:lvl>
    <w:lvl w:ilvl="1" w:tplc="30103F4C">
      <w:numFmt w:val="bullet"/>
      <w:lvlText w:val="•"/>
      <w:lvlJc w:val="left"/>
      <w:pPr>
        <w:ind w:left="1716" w:hanging="360"/>
      </w:pPr>
      <w:rPr>
        <w:rFonts w:hint="default"/>
        <w:lang w:val="en-US" w:eastAsia="en-US" w:bidi="ar-SA"/>
      </w:rPr>
    </w:lvl>
    <w:lvl w:ilvl="2" w:tplc="B5A88100">
      <w:numFmt w:val="bullet"/>
      <w:lvlText w:val="•"/>
      <w:lvlJc w:val="left"/>
      <w:pPr>
        <w:ind w:left="2573" w:hanging="360"/>
      </w:pPr>
      <w:rPr>
        <w:rFonts w:hint="default"/>
        <w:lang w:val="en-US" w:eastAsia="en-US" w:bidi="ar-SA"/>
      </w:rPr>
    </w:lvl>
    <w:lvl w:ilvl="3" w:tplc="68EE0A6E">
      <w:numFmt w:val="bullet"/>
      <w:lvlText w:val="•"/>
      <w:lvlJc w:val="left"/>
      <w:pPr>
        <w:ind w:left="3429" w:hanging="360"/>
      </w:pPr>
      <w:rPr>
        <w:rFonts w:hint="default"/>
        <w:lang w:val="en-US" w:eastAsia="en-US" w:bidi="ar-SA"/>
      </w:rPr>
    </w:lvl>
    <w:lvl w:ilvl="4" w:tplc="8DBA9D18">
      <w:numFmt w:val="bullet"/>
      <w:lvlText w:val="•"/>
      <w:lvlJc w:val="left"/>
      <w:pPr>
        <w:ind w:left="4286" w:hanging="360"/>
      </w:pPr>
      <w:rPr>
        <w:rFonts w:hint="default"/>
        <w:lang w:val="en-US" w:eastAsia="en-US" w:bidi="ar-SA"/>
      </w:rPr>
    </w:lvl>
    <w:lvl w:ilvl="5" w:tplc="303610D6">
      <w:numFmt w:val="bullet"/>
      <w:lvlText w:val="•"/>
      <w:lvlJc w:val="left"/>
      <w:pPr>
        <w:ind w:left="5143" w:hanging="360"/>
      </w:pPr>
      <w:rPr>
        <w:rFonts w:hint="default"/>
        <w:lang w:val="en-US" w:eastAsia="en-US" w:bidi="ar-SA"/>
      </w:rPr>
    </w:lvl>
    <w:lvl w:ilvl="6" w:tplc="3AE842D8">
      <w:numFmt w:val="bullet"/>
      <w:lvlText w:val="•"/>
      <w:lvlJc w:val="left"/>
      <w:pPr>
        <w:ind w:left="5999" w:hanging="360"/>
      </w:pPr>
      <w:rPr>
        <w:rFonts w:hint="default"/>
        <w:lang w:val="en-US" w:eastAsia="en-US" w:bidi="ar-SA"/>
      </w:rPr>
    </w:lvl>
    <w:lvl w:ilvl="7" w:tplc="B498C86E">
      <w:numFmt w:val="bullet"/>
      <w:lvlText w:val="•"/>
      <w:lvlJc w:val="left"/>
      <w:pPr>
        <w:ind w:left="6856" w:hanging="360"/>
      </w:pPr>
      <w:rPr>
        <w:rFonts w:hint="default"/>
        <w:lang w:val="en-US" w:eastAsia="en-US" w:bidi="ar-SA"/>
      </w:rPr>
    </w:lvl>
    <w:lvl w:ilvl="8" w:tplc="A6B4ECEC">
      <w:numFmt w:val="bullet"/>
      <w:lvlText w:val="•"/>
      <w:lvlJc w:val="left"/>
      <w:pPr>
        <w:ind w:left="7713" w:hanging="360"/>
      </w:pPr>
      <w:rPr>
        <w:rFonts w:hint="default"/>
        <w:lang w:val="en-US" w:eastAsia="en-US" w:bidi="ar-SA"/>
      </w:rPr>
    </w:lvl>
  </w:abstractNum>
  <w:abstractNum w:abstractNumId="4">
    <w:nsid w:val="4D033049"/>
    <w:multiLevelType w:val="hybridMultilevel"/>
    <w:tmpl w:val="5D9CA4BE"/>
    <w:lvl w:ilvl="0" w:tplc="924609EA">
      <w:start w:val="1"/>
      <w:numFmt w:val="decimal"/>
      <w:lvlText w:val="%1."/>
      <w:lvlJc w:val="left"/>
      <w:pPr>
        <w:ind w:left="860" w:hanging="360"/>
        <w:jc w:val="left"/>
      </w:pPr>
      <w:rPr>
        <w:rFonts w:ascii="Times New Roman" w:eastAsia="Times New Roman" w:hAnsi="Times New Roman" w:cs="Times New Roman" w:hint="default"/>
        <w:spacing w:val="0"/>
        <w:w w:val="99"/>
        <w:sz w:val="20"/>
        <w:szCs w:val="20"/>
        <w:lang w:val="en-US" w:eastAsia="en-US" w:bidi="ar-SA"/>
      </w:rPr>
    </w:lvl>
    <w:lvl w:ilvl="1" w:tplc="C2A6F668">
      <w:numFmt w:val="bullet"/>
      <w:lvlText w:val="•"/>
      <w:lvlJc w:val="left"/>
      <w:pPr>
        <w:ind w:left="1716" w:hanging="360"/>
      </w:pPr>
      <w:rPr>
        <w:rFonts w:hint="default"/>
        <w:lang w:val="en-US" w:eastAsia="en-US" w:bidi="ar-SA"/>
      </w:rPr>
    </w:lvl>
    <w:lvl w:ilvl="2" w:tplc="B1AA3398">
      <w:numFmt w:val="bullet"/>
      <w:lvlText w:val="•"/>
      <w:lvlJc w:val="left"/>
      <w:pPr>
        <w:ind w:left="2573" w:hanging="360"/>
      </w:pPr>
      <w:rPr>
        <w:rFonts w:hint="default"/>
        <w:lang w:val="en-US" w:eastAsia="en-US" w:bidi="ar-SA"/>
      </w:rPr>
    </w:lvl>
    <w:lvl w:ilvl="3" w:tplc="CDCEE520">
      <w:numFmt w:val="bullet"/>
      <w:lvlText w:val="•"/>
      <w:lvlJc w:val="left"/>
      <w:pPr>
        <w:ind w:left="3429" w:hanging="360"/>
      </w:pPr>
      <w:rPr>
        <w:rFonts w:hint="default"/>
        <w:lang w:val="en-US" w:eastAsia="en-US" w:bidi="ar-SA"/>
      </w:rPr>
    </w:lvl>
    <w:lvl w:ilvl="4" w:tplc="84646CDA">
      <w:numFmt w:val="bullet"/>
      <w:lvlText w:val="•"/>
      <w:lvlJc w:val="left"/>
      <w:pPr>
        <w:ind w:left="4286" w:hanging="360"/>
      </w:pPr>
      <w:rPr>
        <w:rFonts w:hint="default"/>
        <w:lang w:val="en-US" w:eastAsia="en-US" w:bidi="ar-SA"/>
      </w:rPr>
    </w:lvl>
    <w:lvl w:ilvl="5" w:tplc="6FBCE63A">
      <w:numFmt w:val="bullet"/>
      <w:lvlText w:val="•"/>
      <w:lvlJc w:val="left"/>
      <w:pPr>
        <w:ind w:left="5143" w:hanging="360"/>
      </w:pPr>
      <w:rPr>
        <w:rFonts w:hint="default"/>
        <w:lang w:val="en-US" w:eastAsia="en-US" w:bidi="ar-SA"/>
      </w:rPr>
    </w:lvl>
    <w:lvl w:ilvl="6" w:tplc="E36415CE">
      <w:numFmt w:val="bullet"/>
      <w:lvlText w:val="•"/>
      <w:lvlJc w:val="left"/>
      <w:pPr>
        <w:ind w:left="5999" w:hanging="360"/>
      </w:pPr>
      <w:rPr>
        <w:rFonts w:hint="default"/>
        <w:lang w:val="en-US" w:eastAsia="en-US" w:bidi="ar-SA"/>
      </w:rPr>
    </w:lvl>
    <w:lvl w:ilvl="7" w:tplc="C5E22B40">
      <w:numFmt w:val="bullet"/>
      <w:lvlText w:val="•"/>
      <w:lvlJc w:val="left"/>
      <w:pPr>
        <w:ind w:left="6856" w:hanging="360"/>
      </w:pPr>
      <w:rPr>
        <w:rFonts w:hint="default"/>
        <w:lang w:val="en-US" w:eastAsia="en-US" w:bidi="ar-SA"/>
      </w:rPr>
    </w:lvl>
    <w:lvl w:ilvl="8" w:tplc="ACDC02F0">
      <w:numFmt w:val="bullet"/>
      <w:lvlText w:val="•"/>
      <w:lvlJc w:val="left"/>
      <w:pPr>
        <w:ind w:left="7713" w:hanging="360"/>
      </w:pPr>
      <w:rPr>
        <w:rFonts w:hint="default"/>
        <w:lang w:val="en-US" w:eastAsia="en-US" w:bidi="ar-SA"/>
      </w:rPr>
    </w:lvl>
  </w:abstractNum>
  <w:abstractNum w:abstractNumId="5">
    <w:nsid w:val="646C413A"/>
    <w:multiLevelType w:val="hybridMultilevel"/>
    <w:tmpl w:val="1A00D5C8"/>
    <w:lvl w:ilvl="0" w:tplc="E1B44C5E">
      <w:start w:val="1"/>
      <w:numFmt w:val="decimal"/>
      <w:lvlText w:val="%1."/>
      <w:lvlJc w:val="left"/>
      <w:pPr>
        <w:ind w:left="860" w:hanging="360"/>
        <w:jc w:val="left"/>
      </w:pPr>
      <w:rPr>
        <w:rFonts w:ascii="Times New Roman" w:eastAsia="Times New Roman" w:hAnsi="Times New Roman" w:cs="Times New Roman" w:hint="default"/>
        <w:spacing w:val="0"/>
        <w:w w:val="99"/>
        <w:sz w:val="20"/>
        <w:szCs w:val="20"/>
        <w:lang w:val="en-US" w:eastAsia="en-US" w:bidi="ar-SA"/>
      </w:rPr>
    </w:lvl>
    <w:lvl w:ilvl="1" w:tplc="34503C90">
      <w:numFmt w:val="bullet"/>
      <w:lvlText w:val="•"/>
      <w:lvlJc w:val="left"/>
      <w:pPr>
        <w:ind w:left="1716" w:hanging="360"/>
      </w:pPr>
      <w:rPr>
        <w:rFonts w:hint="default"/>
        <w:lang w:val="en-US" w:eastAsia="en-US" w:bidi="ar-SA"/>
      </w:rPr>
    </w:lvl>
    <w:lvl w:ilvl="2" w:tplc="E1AC3C68">
      <w:numFmt w:val="bullet"/>
      <w:lvlText w:val="•"/>
      <w:lvlJc w:val="left"/>
      <w:pPr>
        <w:ind w:left="2573" w:hanging="360"/>
      </w:pPr>
      <w:rPr>
        <w:rFonts w:hint="default"/>
        <w:lang w:val="en-US" w:eastAsia="en-US" w:bidi="ar-SA"/>
      </w:rPr>
    </w:lvl>
    <w:lvl w:ilvl="3" w:tplc="B71C2F82">
      <w:numFmt w:val="bullet"/>
      <w:lvlText w:val="•"/>
      <w:lvlJc w:val="left"/>
      <w:pPr>
        <w:ind w:left="3429" w:hanging="360"/>
      </w:pPr>
      <w:rPr>
        <w:rFonts w:hint="default"/>
        <w:lang w:val="en-US" w:eastAsia="en-US" w:bidi="ar-SA"/>
      </w:rPr>
    </w:lvl>
    <w:lvl w:ilvl="4" w:tplc="184CA510">
      <w:numFmt w:val="bullet"/>
      <w:lvlText w:val="•"/>
      <w:lvlJc w:val="left"/>
      <w:pPr>
        <w:ind w:left="4286" w:hanging="360"/>
      </w:pPr>
      <w:rPr>
        <w:rFonts w:hint="default"/>
        <w:lang w:val="en-US" w:eastAsia="en-US" w:bidi="ar-SA"/>
      </w:rPr>
    </w:lvl>
    <w:lvl w:ilvl="5" w:tplc="FF38C56A">
      <w:numFmt w:val="bullet"/>
      <w:lvlText w:val="•"/>
      <w:lvlJc w:val="left"/>
      <w:pPr>
        <w:ind w:left="5143" w:hanging="360"/>
      </w:pPr>
      <w:rPr>
        <w:rFonts w:hint="default"/>
        <w:lang w:val="en-US" w:eastAsia="en-US" w:bidi="ar-SA"/>
      </w:rPr>
    </w:lvl>
    <w:lvl w:ilvl="6" w:tplc="F7983F76">
      <w:numFmt w:val="bullet"/>
      <w:lvlText w:val="•"/>
      <w:lvlJc w:val="left"/>
      <w:pPr>
        <w:ind w:left="5999" w:hanging="360"/>
      </w:pPr>
      <w:rPr>
        <w:rFonts w:hint="default"/>
        <w:lang w:val="en-US" w:eastAsia="en-US" w:bidi="ar-SA"/>
      </w:rPr>
    </w:lvl>
    <w:lvl w:ilvl="7" w:tplc="FCB44470">
      <w:numFmt w:val="bullet"/>
      <w:lvlText w:val="•"/>
      <w:lvlJc w:val="left"/>
      <w:pPr>
        <w:ind w:left="6856" w:hanging="360"/>
      </w:pPr>
      <w:rPr>
        <w:rFonts w:hint="default"/>
        <w:lang w:val="en-US" w:eastAsia="en-US" w:bidi="ar-SA"/>
      </w:rPr>
    </w:lvl>
    <w:lvl w:ilvl="8" w:tplc="DE08989C">
      <w:numFmt w:val="bullet"/>
      <w:lvlText w:val="•"/>
      <w:lvlJc w:val="left"/>
      <w:pPr>
        <w:ind w:left="7713" w:hanging="360"/>
      </w:pPr>
      <w:rPr>
        <w:rFonts w:hint="default"/>
        <w:lang w:val="en-US" w:eastAsia="en-US" w:bidi="ar-SA"/>
      </w:rPr>
    </w:lvl>
  </w:abstractNum>
  <w:abstractNum w:abstractNumId="6">
    <w:nsid w:val="77E71EBE"/>
    <w:multiLevelType w:val="hybridMultilevel"/>
    <w:tmpl w:val="0A0A68C2"/>
    <w:lvl w:ilvl="0" w:tplc="6FC6A0A0">
      <w:start w:val="6"/>
      <w:numFmt w:val="upperRoman"/>
      <w:lvlText w:val="%1"/>
      <w:lvlJc w:val="left"/>
      <w:pPr>
        <w:ind w:left="2221" w:hanging="322"/>
        <w:jc w:val="right"/>
      </w:pPr>
      <w:rPr>
        <w:rFonts w:ascii="Times New Roman" w:eastAsia="Times New Roman" w:hAnsi="Times New Roman" w:cs="Times New Roman" w:hint="default"/>
        <w:b/>
        <w:bCs/>
        <w:w w:val="99"/>
        <w:sz w:val="20"/>
        <w:szCs w:val="20"/>
        <w:lang w:val="en-US" w:eastAsia="en-US" w:bidi="ar-SA"/>
      </w:rPr>
    </w:lvl>
    <w:lvl w:ilvl="1" w:tplc="984C2E76">
      <w:numFmt w:val="bullet"/>
      <w:lvlText w:val="•"/>
      <w:lvlJc w:val="left"/>
      <w:pPr>
        <w:ind w:left="2940" w:hanging="322"/>
      </w:pPr>
      <w:rPr>
        <w:rFonts w:hint="default"/>
        <w:lang w:val="en-US" w:eastAsia="en-US" w:bidi="ar-SA"/>
      </w:rPr>
    </w:lvl>
    <w:lvl w:ilvl="2" w:tplc="E558FAAA">
      <w:numFmt w:val="bullet"/>
      <w:lvlText w:val="•"/>
      <w:lvlJc w:val="left"/>
      <w:pPr>
        <w:ind w:left="3661" w:hanging="322"/>
      </w:pPr>
      <w:rPr>
        <w:rFonts w:hint="default"/>
        <w:lang w:val="en-US" w:eastAsia="en-US" w:bidi="ar-SA"/>
      </w:rPr>
    </w:lvl>
    <w:lvl w:ilvl="3" w:tplc="ED069C08">
      <w:numFmt w:val="bullet"/>
      <w:lvlText w:val="•"/>
      <w:lvlJc w:val="left"/>
      <w:pPr>
        <w:ind w:left="4381" w:hanging="322"/>
      </w:pPr>
      <w:rPr>
        <w:rFonts w:hint="default"/>
        <w:lang w:val="en-US" w:eastAsia="en-US" w:bidi="ar-SA"/>
      </w:rPr>
    </w:lvl>
    <w:lvl w:ilvl="4" w:tplc="54383D30">
      <w:numFmt w:val="bullet"/>
      <w:lvlText w:val="•"/>
      <w:lvlJc w:val="left"/>
      <w:pPr>
        <w:ind w:left="5102" w:hanging="322"/>
      </w:pPr>
      <w:rPr>
        <w:rFonts w:hint="default"/>
        <w:lang w:val="en-US" w:eastAsia="en-US" w:bidi="ar-SA"/>
      </w:rPr>
    </w:lvl>
    <w:lvl w:ilvl="5" w:tplc="D50EF59A">
      <w:numFmt w:val="bullet"/>
      <w:lvlText w:val="•"/>
      <w:lvlJc w:val="left"/>
      <w:pPr>
        <w:ind w:left="5823" w:hanging="322"/>
      </w:pPr>
      <w:rPr>
        <w:rFonts w:hint="default"/>
        <w:lang w:val="en-US" w:eastAsia="en-US" w:bidi="ar-SA"/>
      </w:rPr>
    </w:lvl>
    <w:lvl w:ilvl="6" w:tplc="D6D8BC06">
      <w:numFmt w:val="bullet"/>
      <w:lvlText w:val="•"/>
      <w:lvlJc w:val="left"/>
      <w:pPr>
        <w:ind w:left="6543" w:hanging="322"/>
      </w:pPr>
      <w:rPr>
        <w:rFonts w:hint="default"/>
        <w:lang w:val="en-US" w:eastAsia="en-US" w:bidi="ar-SA"/>
      </w:rPr>
    </w:lvl>
    <w:lvl w:ilvl="7" w:tplc="A42C9E00">
      <w:numFmt w:val="bullet"/>
      <w:lvlText w:val="•"/>
      <w:lvlJc w:val="left"/>
      <w:pPr>
        <w:ind w:left="7264" w:hanging="322"/>
      </w:pPr>
      <w:rPr>
        <w:rFonts w:hint="default"/>
        <w:lang w:val="en-US" w:eastAsia="en-US" w:bidi="ar-SA"/>
      </w:rPr>
    </w:lvl>
    <w:lvl w:ilvl="8" w:tplc="FEAA84BC">
      <w:numFmt w:val="bullet"/>
      <w:lvlText w:val="•"/>
      <w:lvlJc w:val="left"/>
      <w:pPr>
        <w:ind w:left="7985" w:hanging="322"/>
      </w:pPr>
      <w:rPr>
        <w:rFonts w:hint="default"/>
        <w:lang w:val="en-US" w:eastAsia="en-US" w:bidi="ar-SA"/>
      </w:r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34EFE"/>
    <w:rsid w:val="00175EA0"/>
    <w:rsid w:val="00634EFE"/>
    <w:rsid w:val="00E047E6"/>
    <w:rsid w:val="00F22F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4EFE"/>
    <w:rPr>
      <w:rFonts w:ascii="Times New Roman" w:eastAsia="Times New Roman" w:hAnsi="Times New Roman" w:cs="Times New Roman"/>
    </w:rPr>
  </w:style>
  <w:style w:type="paragraph" w:styleId="Heading1">
    <w:name w:val="heading 1"/>
    <w:basedOn w:val="Normal"/>
    <w:uiPriority w:val="1"/>
    <w:qFormat/>
    <w:rsid w:val="00634EFE"/>
    <w:pPr>
      <w:ind w:left="937"/>
      <w:outlineLvl w:val="0"/>
    </w:pPr>
    <w:rPr>
      <w:sz w:val="40"/>
      <w:szCs w:val="40"/>
    </w:rPr>
  </w:style>
  <w:style w:type="paragraph" w:styleId="Heading2">
    <w:name w:val="heading 2"/>
    <w:basedOn w:val="Normal"/>
    <w:uiPriority w:val="1"/>
    <w:qFormat/>
    <w:rsid w:val="00634EFE"/>
    <w:pPr>
      <w:spacing w:line="228" w:lineRule="exact"/>
      <w:ind w:left="538" w:right="661"/>
      <w:jc w:val="center"/>
      <w:outlineLvl w:val="1"/>
    </w:pPr>
    <w:rPr>
      <w:b/>
      <w:bCs/>
      <w:sz w:val="20"/>
      <w:szCs w:val="20"/>
    </w:rPr>
  </w:style>
  <w:style w:type="paragraph" w:styleId="Heading3">
    <w:name w:val="heading 3"/>
    <w:basedOn w:val="Normal"/>
    <w:uiPriority w:val="1"/>
    <w:qFormat/>
    <w:rsid w:val="00634EFE"/>
    <w:pPr>
      <w:spacing w:before="3"/>
      <w:ind w:left="140"/>
      <w:jc w:val="both"/>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4EFE"/>
    <w:rPr>
      <w:sz w:val="20"/>
      <w:szCs w:val="20"/>
    </w:rPr>
  </w:style>
  <w:style w:type="paragraph" w:styleId="ListParagraph">
    <w:name w:val="List Paragraph"/>
    <w:basedOn w:val="Normal"/>
    <w:uiPriority w:val="1"/>
    <w:qFormat/>
    <w:rsid w:val="00634EFE"/>
    <w:pPr>
      <w:ind w:left="860" w:hanging="361"/>
    </w:pPr>
  </w:style>
  <w:style w:type="paragraph" w:customStyle="1" w:styleId="TableParagraph">
    <w:name w:val="Table Paragraph"/>
    <w:basedOn w:val="Normal"/>
    <w:uiPriority w:val="1"/>
    <w:qFormat/>
    <w:rsid w:val="00634EFE"/>
    <w:pPr>
      <w:ind w:left="107"/>
    </w:pPr>
  </w:style>
  <w:style w:type="paragraph" w:styleId="Header">
    <w:name w:val="header"/>
    <w:basedOn w:val="Normal"/>
    <w:link w:val="HeaderChar"/>
    <w:uiPriority w:val="99"/>
    <w:semiHidden/>
    <w:unhideWhenUsed/>
    <w:rsid w:val="00F22FB9"/>
    <w:pPr>
      <w:tabs>
        <w:tab w:val="center" w:pos="4513"/>
        <w:tab w:val="right" w:pos="9026"/>
      </w:tabs>
    </w:pPr>
  </w:style>
  <w:style w:type="character" w:customStyle="1" w:styleId="HeaderChar">
    <w:name w:val="Header Char"/>
    <w:basedOn w:val="DefaultParagraphFont"/>
    <w:link w:val="Header"/>
    <w:uiPriority w:val="99"/>
    <w:semiHidden/>
    <w:rsid w:val="00F22FB9"/>
    <w:rPr>
      <w:rFonts w:ascii="Times New Roman" w:eastAsia="Times New Roman" w:hAnsi="Times New Roman" w:cs="Times New Roman"/>
    </w:rPr>
  </w:style>
  <w:style w:type="paragraph" w:styleId="Footer">
    <w:name w:val="footer"/>
    <w:basedOn w:val="Normal"/>
    <w:link w:val="FooterChar"/>
    <w:uiPriority w:val="99"/>
    <w:semiHidden/>
    <w:unhideWhenUsed/>
    <w:rsid w:val="00F22FB9"/>
    <w:pPr>
      <w:tabs>
        <w:tab w:val="center" w:pos="4513"/>
        <w:tab w:val="right" w:pos="9026"/>
      </w:tabs>
    </w:pPr>
  </w:style>
  <w:style w:type="character" w:customStyle="1" w:styleId="FooterChar">
    <w:name w:val="Footer Char"/>
    <w:basedOn w:val="DefaultParagraphFont"/>
    <w:link w:val="Footer"/>
    <w:uiPriority w:val="99"/>
    <w:semiHidden/>
    <w:rsid w:val="00F22FB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Priyangbada</cp:lastModifiedBy>
  <cp:revision>3</cp:revision>
  <dcterms:created xsi:type="dcterms:W3CDTF">2021-01-17T15:22:00Z</dcterms:created>
  <dcterms:modified xsi:type="dcterms:W3CDTF">2021-01-17T15:31:00Z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2014-09-06T00:00:00Z</vt:filetime>
  </property>
  <property fmtid="{D5CDD505-2E9C-101B-9397-08002B2CF9AE}" pid="3" name="Creator">
    <vt:lpwstr>Microsoft® Office Word 2007</vt:lpwstr>
  </property>
  <property fmtid="{D5CDD505-2E9C-101B-9397-08002B2CF9AE}" pid="4" name="LastSaved">
    <vt:filetime>2021-01-17T00:00:00Z</vt:filetime>
  </property>
</Properties>
</file>