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1E" w:rsidRPr="0030051E" w:rsidRDefault="0030051E" w:rsidP="0030051E">
      <w:pPr>
        <w:shd w:val="clear" w:color="auto" w:fill="FFFFFF"/>
        <w:spacing w:after="24" w:line="240" w:lineRule="auto"/>
        <w:jc w:val="center"/>
        <w:rPr>
          <w:rFonts w:cstheme="minorHAnsi"/>
          <w:b/>
          <w:sz w:val="32"/>
          <w:szCs w:val="32"/>
          <w:shd w:val="clear" w:color="auto" w:fill="FFFFFF"/>
        </w:rPr>
      </w:pPr>
      <w:r w:rsidRPr="0030051E">
        <w:rPr>
          <w:rFonts w:cstheme="minorHAnsi"/>
          <w:b/>
          <w:sz w:val="32"/>
          <w:szCs w:val="32"/>
          <w:shd w:val="clear" w:color="auto" w:fill="FFFFFF"/>
        </w:rPr>
        <w:t>THE INDIAN HIGH COURTS ACT, 1861</w:t>
      </w:r>
    </w:p>
    <w:p w:rsidR="0030051E" w:rsidRPr="0030051E" w:rsidRDefault="0030051E" w:rsidP="0030051E">
      <w:pPr>
        <w:shd w:val="clear" w:color="auto" w:fill="FFFFFF"/>
        <w:spacing w:after="24" w:line="240" w:lineRule="auto"/>
        <w:jc w:val="both"/>
        <w:rPr>
          <w:rFonts w:cstheme="minorHAnsi"/>
          <w:b/>
          <w:i/>
          <w:sz w:val="26"/>
          <w:szCs w:val="26"/>
          <w:shd w:val="clear" w:color="auto" w:fill="FFFFFF"/>
        </w:rPr>
      </w:pPr>
    </w:p>
    <w:p w:rsidR="0030051E" w:rsidRPr="0030051E" w:rsidRDefault="0030051E" w:rsidP="0030051E">
      <w:pPr>
        <w:shd w:val="clear" w:color="auto" w:fill="FFFFFF"/>
        <w:spacing w:after="24" w:line="240" w:lineRule="auto"/>
        <w:jc w:val="both"/>
        <w:rPr>
          <w:rFonts w:cstheme="minorHAnsi"/>
          <w:b/>
          <w:i/>
          <w:sz w:val="26"/>
          <w:szCs w:val="26"/>
          <w:shd w:val="clear" w:color="auto" w:fill="FFFFFF"/>
        </w:rPr>
      </w:pPr>
      <w:r w:rsidRPr="0030051E">
        <w:rPr>
          <w:rFonts w:cstheme="minorHAnsi"/>
          <w:b/>
          <w:i/>
          <w:sz w:val="26"/>
          <w:szCs w:val="26"/>
          <w:shd w:val="clear" w:color="auto" w:fill="FFFFFF"/>
        </w:rPr>
        <w:t>INTRODUCTION:</w:t>
      </w:r>
    </w:p>
    <w:p w:rsidR="0030051E" w:rsidRDefault="0030051E" w:rsidP="0030051E">
      <w:pPr>
        <w:shd w:val="clear" w:color="auto" w:fill="FFFFFF"/>
        <w:spacing w:after="24" w:line="240" w:lineRule="auto"/>
        <w:jc w:val="both"/>
        <w:rPr>
          <w:rFonts w:cstheme="minorHAnsi"/>
          <w:sz w:val="26"/>
          <w:szCs w:val="26"/>
          <w:shd w:val="clear" w:color="auto" w:fill="FFFFFF"/>
        </w:rPr>
      </w:pPr>
    </w:p>
    <w:p w:rsidR="0030051E" w:rsidRPr="00583152" w:rsidRDefault="0030051E" w:rsidP="0030051E">
      <w:pPr>
        <w:shd w:val="clear" w:color="auto" w:fill="FFFFFF"/>
        <w:spacing w:after="24" w:line="240" w:lineRule="auto"/>
        <w:jc w:val="both"/>
        <w:rPr>
          <w:rFonts w:cstheme="minorHAnsi"/>
          <w:color w:val="632423" w:themeColor="accent2" w:themeShade="80"/>
          <w:sz w:val="26"/>
          <w:szCs w:val="26"/>
          <w:shd w:val="clear" w:color="auto" w:fill="FFFFFF"/>
        </w:rPr>
      </w:pPr>
      <w:r w:rsidRPr="00583152">
        <w:rPr>
          <w:rFonts w:cstheme="minorHAnsi"/>
          <w:color w:val="C00000"/>
          <w:sz w:val="26"/>
          <w:szCs w:val="26"/>
          <w:shd w:val="clear" w:color="auto" w:fill="FFFFFF"/>
        </w:rPr>
        <w:t>The </w:t>
      </w:r>
      <w:r w:rsidRPr="00583152">
        <w:rPr>
          <w:rFonts w:cstheme="minorHAnsi"/>
          <w:bCs/>
          <w:color w:val="C00000"/>
          <w:sz w:val="26"/>
          <w:szCs w:val="26"/>
          <w:shd w:val="clear" w:color="auto" w:fill="FFFFFF"/>
        </w:rPr>
        <w:t>Indian High Courts Act of 1861</w:t>
      </w:r>
      <w:r w:rsidRPr="00583152">
        <w:rPr>
          <w:rFonts w:cstheme="minorHAnsi"/>
          <w:color w:val="C00000"/>
          <w:sz w:val="26"/>
          <w:szCs w:val="26"/>
          <w:shd w:val="clear" w:color="auto" w:fill="FFFFFF"/>
          <w:vertAlign w:val="superscript"/>
        </w:rPr>
        <w:t xml:space="preserve"> </w:t>
      </w:r>
      <w:r w:rsidRPr="00583152">
        <w:rPr>
          <w:rFonts w:cstheme="minorHAnsi"/>
          <w:color w:val="C00000"/>
          <w:sz w:val="26"/>
          <w:szCs w:val="26"/>
          <w:shd w:val="clear" w:color="auto" w:fill="FFFFFF"/>
        </w:rPr>
        <w:t>was an act of the Parliament of the United Kingdom</w:t>
      </w:r>
      <w:r w:rsidRPr="0030051E">
        <w:rPr>
          <w:rFonts w:cstheme="minorHAnsi"/>
          <w:sz w:val="26"/>
          <w:szCs w:val="26"/>
          <w:shd w:val="clear" w:color="auto" w:fill="FFFFFF"/>
        </w:rPr>
        <w:t xml:space="preserve"> to </w:t>
      </w:r>
      <w:r w:rsidRPr="00583152">
        <w:rPr>
          <w:rFonts w:cstheme="minorHAnsi"/>
          <w:color w:val="17365D" w:themeColor="text2" w:themeShade="BF"/>
          <w:sz w:val="26"/>
          <w:szCs w:val="26"/>
          <w:shd w:val="clear" w:color="auto" w:fill="FFFFFF"/>
        </w:rPr>
        <w:t>authorize the Crown to create High Courts in the Indian colony</w:t>
      </w:r>
      <w:r w:rsidRPr="0030051E">
        <w:rPr>
          <w:rFonts w:cstheme="minorHAnsi"/>
          <w:sz w:val="26"/>
          <w:szCs w:val="26"/>
          <w:shd w:val="clear" w:color="auto" w:fill="FFFFFF"/>
        </w:rPr>
        <w:t>. </w:t>
      </w:r>
      <w:r w:rsidRPr="00583152">
        <w:rPr>
          <w:rFonts w:cstheme="minorHAnsi"/>
          <w:b/>
          <w:sz w:val="26"/>
          <w:szCs w:val="26"/>
          <w:shd w:val="clear" w:color="auto" w:fill="FFFFFF"/>
        </w:rPr>
        <w:t>Queen Victoria created the High Courts in Calcutta, Madras, and Bombay by </w:t>
      </w:r>
      <w:hyperlink r:id="rId5" w:history="1">
        <w:r w:rsidRPr="00583152">
          <w:rPr>
            <w:rStyle w:val="Hyperlink"/>
            <w:rFonts w:cstheme="minorHAnsi"/>
            <w:b/>
            <w:color w:val="auto"/>
            <w:sz w:val="26"/>
            <w:szCs w:val="26"/>
            <w:u w:val="none"/>
            <w:shd w:val="clear" w:color="auto" w:fill="FFFFFF"/>
          </w:rPr>
          <w:t>Letters Patent</w:t>
        </w:r>
      </w:hyperlink>
      <w:r w:rsidRPr="00583152">
        <w:rPr>
          <w:rFonts w:cstheme="minorHAnsi"/>
          <w:b/>
          <w:sz w:val="26"/>
          <w:szCs w:val="26"/>
          <w:shd w:val="clear" w:color="auto" w:fill="FFFFFF"/>
        </w:rPr>
        <w:t> in 1862</w:t>
      </w:r>
      <w:r w:rsidRPr="0030051E">
        <w:rPr>
          <w:rFonts w:cstheme="minorHAnsi"/>
          <w:sz w:val="26"/>
          <w:szCs w:val="26"/>
          <w:shd w:val="clear" w:color="auto" w:fill="FFFFFF"/>
        </w:rPr>
        <w:t xml:space="preserve">. These High Courts would become the precursors to the High Courts in the modern day India, Pakistan, and Bangladesh. </w:t>
      </w:r>
      <w:r w:rsidRPr="00583152">
        <w:rPr>
          <w:rFonts w:cstheme="minorHAnsi"/>
          <w:color w:val="632423" w:themeColor="accent2" w:themeShade="80"/>
          <w:sz w:val="26"/>
          <w:szCs w:val="26"/>
          <w:shd w:val="clear" w:color="auto" w:fill="FFFFFF"/>
        </w:rPr>
        <w:t>The Act was passed after the </w:t>
      </w:r>
      <w:hyperlink r:id="rId6" w:tooltip="First War of Independence of 1857 (page does not exist)" w:history="1">
        <w:r w:rsidRPr="00583152">
          <w:rPr>
            <w:rStyle w:val="Hyperlink"/>
            <w:rFonts w:cstheme="minorHAnsi"/>
            <w:color w:val="632423" w:themeColor="accent2" w:themeShade="80"/>
            <w:sz w:val="26"/>
            <w:szCs w:val="26"/>
            <w:u w:val="none"/>
            <w:shd w:val="clear" w:color="auto" w:fill="FFFFFF"/>
          </w:rPr>
          <w:t>First War of Independence of 1857</w:t>
        </w:r>
      </w:hyperlink>
      <w:r w:rsidRPr="00583152">
        <w:rPr>
          <w:rFonts w:cstheme="minorHAnsi"/>
          <w:color w:val="632423" w:themeColor="accent2" w:themeShade="80"/>
          <w:sz w:val="26"/>
          <w:szCs w:val="26"/>
          <w:shd w:val="clear" w:color="auto" w:fill="FFFFFF"/>
        </w:rPr>
        <w:t> and consolidated the parallel legal systems of the Crown and the </w:t>
      </w:r>
      <w:hyperlink r:id="rId7" w:history="1">
        <w:r w:rsidRPr="00583152">
          <w:rPr>
            <w:rStyle w:val="Hyperlink"/>
            <w:rFonts w:cstheme="minorHAnsi"/>
            <w:color w:val="632423" w:themeColor="accent2" w:themeShade="80"/>
            <w:sz w:val="26"/>
            <w:szCs w:val="26"/>
            <w:u w:val="none"/>
            <w:shd w:val="clear" w:color="auto" w:fill="FFFFFF"/>
          </w:rPr>
          <w:t>East India Company</w:t>
        </w:r>
      </w:hyperlink>
      <w:r w:rsidRPr="00583152">
        <w:rPr>
          <w:rFonts w:cstheme="minorHAnsi"/>
          <w:color w:val="632423" w:themeColor="accent2" w:themeShade="80"/>
          <w:sz w:val="26"/>
          <w:szCs w:val="26"/>
          <w:shd w:val="clear" w:color="auto" w:fill="FFFFFF"/>
        </w:rPr>
        <w:t>.</w:t>
      </w:r>
    </w:p>
    <w:p w:rsidR="0030051E" w:rsidRPr="0030051E" w:rsidRDefault="0030051E" w:rsidP="0030051E">
      <w:pPr>
        <w:shd w:val="clear" w:color="auto" w:fill="FFFFFF"/>
        <w:spacing w:after="24" w:line="240" w:lineRule="auto"/>
        <w:jc w:val="both"/>
        <w:rPr>
          <w:rFonts w:eastAsia="Times New Roman" w:cstheme="minorHAnsi"/>
          <w:sz w:val="26"/>
          <w:szCs w:val="26"/>
          <w:lang w:eastAsia="en-IN"/>
        </w:rPr>
      </w:pPr>
      <w:r w:rsidRPr="0030051E">
        <w:rPr>
          <w:rFonts w:eastAsia="Times New Roman" w:cstheme="minorHAnsi"/>
          <w:sz w:val="26"/>
          <w:szCs w:val="26"/>
          <w:lang w:eastAsia="en-IN"/>
        </w:rPr>
        <w:t xml:space="preserve">By Indian High Courts Act 1861, the Supreme &amp; </w:t>
      </w:r>
      <w:proofErr w:type="spellStart"/>
      <w:r w:rsidRPr="0030051E">
        <w:rPr>
          <w:rFonts w:eastAsia="Times New Roman" w:cstheme="minorHAnsi"/>
          <w:sz w:val="26"/>
          <w:szCs w:val="26"/>
          <w:lang w:eastAsia="en-IN"/>
        </w:rPr>
        <w:t>Sadar</w:t>
      </w:r>
      <w:proofErr w:type="spellEnd"/>
      <w:r w:rsidRPr="0030051E">
        <w:rPr>
          <w:rFonts w:eastAsia="Times New Roman" w:cstheme="minorHAnsi"/>
          <w:sz w:val="26"/>
          <w:szCs w:val="26"/>
          <w:lang w:eastAsia="en-IN"/>
        </w:rPr>
        <w:t xml:space="preserve"> Courts were amalgamated. The ‘Indian High Court Act’ of 1861, vested in Queen of England to issue letters patent to erect and establish High Courts of Calcutta, Madras and Bombay.</w:t>
      </w:r>
    </w:p>
    <w:p w:rsidR="0030051E" w:rsidRPr="00583152" w:rsidRDefault="0030051E" w:rsidP="0030051E">
      <w:pPr>
        <w:shd w:val="clear" w:color="auto" w:fill="FFFFFF"/>
        <w:spacing w:after="24" w:line="240" w:lineRule="auto"/>
        <w:jc w:val="both"/>
        <w:rPr>
          <w:rFonts w:eastAsia="Times New Roman" w:cstheme="minorHAnsi"/>
          <w:i/>
          <w:sz w:val="26"/>
          <w:szCs w:val="26"/>
          <w:lang w:eastAsia="en-IN"/>
        </w:rPr>
      </w:pPr>
      <w:r w:rsidRPr="00583152">
        <w:rPr>
          <w:rFonts w:eastAsia="Times New Roman" w:cstheme="minorHAnsi"/>
          <w:i/>
          <w:sz w:val="26"/>
          <w:szCs w:val="26"/>
          <w:lang w:eastAsia="en-IN"/>
        </w:rPr>
        <w:t xml:space="preserve">It is worth note that Indian High Courts Act, 1861 did not by itself create and establish the High Courts in India. The objective of this Act was to effect a fusion of the Supreme Courts and the </w:t>
      </w:r>
      <w:proofErr w:type="spellStart"/>
      <w:r w:rsidRPr="00583152">
        <w:rPr>
          <w:rFonts w:eastAsia="Times New Roman" w:cstheme="minorHAnsi"/>
          <w:i/>
          <w:sz w:val="26"/>
          <w:szCs w:val="26"/>
          <w:lang w:eastAsia="en-IN"/>
        </w:rPr>
        <w:t>Sadar</w:t>
      </w:r>
      <w:proofErr w:type="spellEnd"/>
      <w:r w:rsidRPr="00583152">
        <w:rPr>
          <w:rFonts w:eastAsia="Times New Roman" w:cstheme="minorHAnsi"/>
          <w:i/>
          <w:sz w:val="26"/>
          <w:szCs w:val="26"/>
          <w:lang w:eastAsia="en-IN"/>
        </w:rPr>
        <w:t xml:space="preserve"> </w:t>
      </w:r>
      <w:proofErr w:type="spellStart"/>
      <w:r w:rsidRPr="00583152">
        <w:rPr>
          <w:rFonts w:eastAsia="Times New Roman" w:cstheme="minorHAnsi"/>
          <w:i/>
          <w:sz w:val="26"/>
          <w:szCs w:val="26"/>
          <w:lang w:eastAsia="en-IN"/>
        </w:rPr>
        <w:t>Adalats</w:t>
      </w:r>
      <w:proofErr w:type="spellEnd"/>
      <w:r w:rsidRPr="00583152">
        <w:rPr>
          <w:rFonts w:eastAsia="Times New Roman" w:cstheme="minorHAnsi"/>
          <w:i/>
          <w:sz w:val="26"/>
          <w:szCs w:val="26"/>
          <w:lang w:eastAsia="en-IN"/>
        </w:rPr>
        <w:t xml:space="preserve"> in the three Presidencies and this was to be consummated by issuing Letter Patent. The jurisdiction and powers exercised by these courts was to be assumed by the High Courts.</w:t>
      </w:r>
    </w:p>
    <w:p w:rsidR="0030051E" w:rsidRPr="00583152" w:rsidRDefault="0030051E" w:rsidP="0030051E">
      <w:pPr>
        <w:shd w:val="clear" w:color="auto" w:fill="FFFFFF"/>
        <w:spacing w:after="24" w:line="240" w:lineRule="auto"/>
        <w:jc w:val="both"/>
        <w:rPr>
          <w:rFonts w:eastAsia="Times New Roman" w:cstheme="minorHAnsi"/>
          <w:i/>
          <w:sz w:val="26"/>
          <w:szCs w:val="26"/>
          <w:lang w:eastAsia="en-IN"/>
        </w:rPr>
      </w:pPr>
    </w:p>
    <w:p w:rsidR="0030051E" w:rsidRPr="0030051E" w:rsidRDefault="0030051E" w:rsidP="0030051E">
      <w:pPr>
        <w:shd w:val="clear" w:color="auto" w:fill="FFFFFF"/>
        <w:spacing w:after="0" w:line="240" w:lineRule="auto"/>
        <w:jc w:val="both"/>
        <w:rPr>
          <w:rFonts w:eastAsia="Times New Roman" w:cstheme="minorHAnsi"/>
          <w:b/>
          <w:bCs/>
          <w:sz w:val="26"/>
          <w:szCs w:val="26"/>
          <w:lang w:eastAsia="en-IN"/>
        </w:rPr>
      </w:pPr>
    </w:p>
    <w:p w:rsidR="0030051E" w:rsidRPr="0030051E" w:rsidRDefault="0030051E" w:rsidP="0030051E">
      <w:pPr>
        <w:shd w:val="clear" w:color="auto" w:fill="FFFFFF"/>
        <w:spacing w:after="0" w:line="240" w:lineRule="auto"/>
        <w:jc w:val="both"/>
        <w:rPr>
          <w:rFonts w:eastAsia="Times New Roman" w:cstheme="minorHAnsi"/>
          <w:i/>
          <w:sz w:val="26"/>
          <w:szCs w:val="26"/>
          <w:lang w:eastAsia="en-IN"/>
        </w:rPr>
      </w:pPr>
      <w:r w:rsidRPr="0030051E">
        <w:rPr>
          <w:rFonts w:eastAsia="Times New Roman" w:cstheme="minorHAnsi"/>
          <w:b/>
          <w:bCs/>
          <w:i/>
          <w:sz w:val="26"/>
          <w:szCs w:val="26"/>
          <w:lang w:eastAsia="en-IN"/>
        </w:rPr>
        <w:t>FEATURES OF THE ACT:</w:t>
      </w:r>
    </w:p>
    <w:p w:rsidR="0030051E" w:rsidRPr="0030051E" w:rsidRDefault="0030051E" w:rsidP="0030051E">
      <w:pPr>
        <w:numPr>
          <w:ilvl w:val="0"/>
          <w:numId w:val="1"/>
        </w:numPr>
        <w:shd w:val="clear" w:color="auto" w:fill="FFFFFF"/>
        <w:spacing w:after="120" w:line="240" w:lineRule="auto"/>
        <w:ind w:left="0"/>
        <w:jc w:val="both"/>
        <w:rPr>
          <w:rFonts w:eastAsia="Times New Roman" w:cstheme="minorHAnsi"/>
          <w:sz w:val="26"/>
          <w:szCs w:val="26"/>
          <w:lang w:eastAsia="en-IN"/>
        </w:rPr>
      </w:pPr>
      <w:r w:rsidRPr="0030051E">
        <w:rPr>
          <w:rFonts w:eastAsia="Times New Roman" w:cstheme="minorHAnsi"/>
          <w:sz w:val="26"/>
          <w:szCs w:val="26"/>
          <w:lang w:eastAsia="en-IN"/>
        </w:rPr>
        <w:t>The Charter of High Court of Calcutta was issued on 14th May, 1862 and Madras and Bombay was issued on June 26, 1862.</w:t>
      </w:r>
    </w:p>
    <w:p w:rsidR="0030051E" w:rsidRPr="0030051E" w:rsidRDefault="0030051E" w:rsidP="0030051E">
      <w:pPr>
        <w:numPr>
          <w:ilvl w:val="0"/>
          <w:numId w:val="1"/>
        </w:numPr>
        <w:shd w:val="clear" w:color="auto" w:fill="FFFFFF"/>
        <w:spacing w:after="120" w:line="240" w:lineRule="auto"/>
        <w:ind w:left="0"/>
        <w:jc w:val="both"/>
        <w:rPr>
          <w:rFonts w:eastAsia="Times New Roman" w:cstheme="minorHAnsi"/>
          <w:sz w:val="26"/>
          <w:szCs w:val="26"/>
          <w:lang w:eastAsia="en-IN"/>
        </w:rPr>
      </w:pPr>
      <w:r w:rsidRPr="0030051E">
        <w:rPr>
          <w:rFonts w:eastAsia="Times New Roman" w:cstheme="minorHAnsi"/>
          <w:sz w:val="26"/>
          <w:szCs w:val="26"/>
          <w:lang w:eastAsia="en-IN"/>
        </w:rPr>
        <w:t>So, the Calcutta High Court has the </w:t>
      </w:r>
      <w:r w:rsidRPr="0030051E">
        <w:rPr>
          <w:rFonts w:eastAsia="Times New Roman" w:cstheme="minorHAnsi"/>
          <w:bCs/>
          <w:sz w:val="26"/>
          <w:szCs w:val="26"/>
          <w:lang w:eastAsia="en-IN"/>
        </w:rPr>
        <w:t>distinction of being the first High Court</w:t>
      </w:r>
      <w:r w:rsidRPr="0030051E">
        <w:rPr>
          <w:rFonts w:eastAsia="Times New Roman" w:cstheme="minorHAnsi"/>
          <w:sz w:val="26"/>
          <w:szCs w:val="26"/>
          <w:lang w:eastAsia="en-IN"/>
        </w:rPr>
        <w:t> and one of the three Chartered High Courts to be set up in India, along with the High Courts of Bombay, Madras.</w:t>
      </w:r>
    </w:p>
    <w:p w:rsidR="0030051E" w:rsidRPr="0030051E" w:rsidRDefault="0030051E" w:rsidP="0030051E">
      <w:pPr>
        <w:numPr>
          <w:ilvl w:val="0"/>
          <w:numId w:val="1"/>
        </w:numPr>
        <w:shd w:val="clear" w:color="auto" w:fill="FFFFFF"/>
        <w:spacing w:after="120" w:line="240" w:lineRule="auto"/>
        <w:ind w:left="0"/>
        <w:jc w:val="both"/>
        <w:rPr>
          <w:rFonts w:eastAsia="Times New Roman" w:cstheme="minorHAnsi"/>
          <w:sz w:val="26"/>
          <w:szCs w:val="26"/>
          <w:lang w:eastAsia="en-IN"/>
        </w:rPr>
      </w:pPr>
      <w:r w:rsidRPr="0030051E">
        <w:rPr>
          <w:rFonts w:eastAsia="Times New Roman" w:cstheme="minorHAnsi"/>
          <w:sz w:val="26"/>
          <w:szCs w:val="26"/>
          <w:lang w:eastAsia="en-IN"/>
        </w:rPr>
        <w:t>High Court at Calcutta which was formerly known as High Court of Judicature at Fort William was established on July 1, 1862. Sir Barnes Peacock was its first Chief Justice.</w:t>
      </w:r>
    </w:p>
    <w:p w:rsidR="0030051E" w:rsidRPr="0030051E" w:rsidRDefault="0030051E" w:rsidP="0030051E">
      <w:pPr>
        <w:numPr>
          <w:ilvl w:val="0"/>
          <w:numId w:val="1"/>
        </w:numPr>
        <w:shd w:val="clear" w:color="auto" w:fill="FFFFFF"/>
        <w:spacing w:after="120" w:line="240" w:lineRule="auto"/>
        <w:ind w:left="0"/>
        <w:jc w:val="both"/>
        <w:rPr>
          <w:rFonts w:eastAsia="Times New Roman" w:cstheme="minorHAnsi"/>
          <w:sz w:val="26"/>
          <w:szCs w:val="26"/>
          <w:lang w:eastAsia="en-IN"/>
        </w:rPr>
      </w:pPr>
      <w:r w:rsidRPr="0030051E">
        <w:rPr>
          <w:rFonts w:eastAsia="Times New Roman" w:cstheme="minorHAnsi"/>
          <w:sz w:val="26"/>
          <w:szCs w:val="26"/>
          <w:lang w:eastAsia="en-IN"/>
        </w:rPr>
        <w:t xml:space="preserve">On 2nd February, 1863, Justice </w:t>
      </w:r>
      <w:proofErr w:type="spellStart"/>
      <w:r w:rsidRPr="0030051E">
        <w:rPr>
          <w:rFonts w:eastAsia="Times New Roman" w:cstheme="minorHAnsi"/>
          <w:sz w:val="26"/>
          <w:szCs w:val="26"/>
          <w:lang w:eastAsia="en-IN"/>
        </w:rPr>
        <w:t>Sumboo</w:t>
      </w:r>
      <w:proofErr w:type="spellEnd"/>
      <w:r w:rsidRPr="0030051E">
        <w:rPr>
          <w:rFonts w:eastAsia="Times New Roman" w:cstheme="minorHAnsi"/>
          <w:sz w:val="26"/>
          <w:szCs w:val="26"/>
          <w:lang w:eastAsia="en-IN"/>
        </w:rPr>
        <w:t xml:space="preserve"> </w:t>
      </w:r>
      <w:proofErr w:type="spellStart"/>
      <w:r w:rsidRPr="0030051E">
        <w:rPr>
          <w:rFonts w:eastAsia="Times New Roman" w:cstheme="minorHAnsi"/>
          <w:sz w:val="26"/>
          <w:szCs w:val="26"/>
          <w:lang w:eastAsia="en-IN"/>
        </w:rPr>
        <w:t>Nath</w:t>
      </w:r>
      <w:proofErr w:type="spellEnd"/>
      <w:r w:rsidRPr="0030051E">
        <w:rPr>
          <w:rFonts w:eastAsia="Times New Roman" w:cstheme="minorHAnsi"/>
          <w:sz w:val="26"/>
          <w:szCs w:val="26"/>
          <w:lang w:eastAsia="en-IN"/>
        </w:rPr>
        <w:t xml:space="preserve"> </w:t>
      </w:r>
      <w:proofErr w:type="spellStart"/>
      <w:r w:rsidRPr="0030051E">
        <w:rPr>
          <w:rFonts w:eastAsia="Times New Roman" w:cstheme="minorHAnsi"/>
          <w:sz w:val="26"/>
          <w:szCs w:val="26"/>
          <w:lang w:eastAsia="en-IN"/>
        </w:rPr>
        <w:t>Pandit</w:t>
      </w:r>
      <w:proofErr w:type="spellEnd"/>
      <w:r w:rsidRPr="0030051E">
        <w:rPr>
          <w:rFonts w:eastAsia="Times New Roman" w:cstheme="minorHAnsi"/>
          <w:sz w:val="26"/>
          <w:szCs w:val="26"/>
          <w:lang w:eastAsia="en-IN"/>
        </w:rPr>
        <w:t xml:space="preserve"> was the first Indian to assume office as a Judge of the Calcutta High Court.</w:t>
      </w:r>
    </w:p>
    <w:p w:rsidR="0030051E" w:rsidRPr="0030051E" w:rsidRDefault="0030051E" w:rsidP="0030051E">
      <w:pPr>
        <w:numPr>
          <w:ilvl w:val="0"/>
          <w:numId w:val="1"/>
        </w:numPr>
        <w:shd w:val="clear" w:color="auto" w:fill="FFFFFF"/>
        <w:spacing w:after="120" w:line="240" w:lineRule="auto"/>
        <w:ind w:left="0"/>
        <w:jc w:val="both"/>
        <w:rPr>
          <w:rFonts w:eastAsia="Times New Roman" w:cstheme="minorHAnsi"/>
          <w:sz w:val="26"/>
          <w:szCs w:val="26"/>
          <w:lang w:eastAsia="en-IN"/>
        </w:rPr>
      </w:pPr>
      <w:r w:rsidRPr="0030051E">
        <w:rPr>
          <w:rFonts w:eastAsia="Times New Roman" w:cstheme="minorHAnsi"/>
          <w:sz w:val="26"/>
          <w:szCs w:val="26"/>
          <w:lang w:eastAsia="en-IN"/>
        </w:rPr>
        <w:t>The Bombay High Court</w:t>
      </w:r>
      <w:r>
        <w:rPr>
          <w:rFonts w:eastAsia="Times New Roman" w:cstheme="minorHAnsi"/>
          <w:sz w:val="26"/>
          <w:szCs w:val="26"/>
          <w:lang w:eastAsia="en-IN"/>
        </w:rPr>
        <w:t xml:space="preserve"> was inaugurated on 14th August</w:t>
      </w:r>
      <w:r w:rsidRPr="0030051E">
        <w:rPr>
          <w:rFonts w:eastAsia="Times New Roman" w:cstheme="minorHAnsi"/>
          <w:sz w:val="26"/>
          <w:szCs w:val="26"/>
          <w:lang w:eastAsia="en-IN"/>
        </w:rPr>
        <w:t>,</w:t>
      </w:r>
      <w:r w:rsidR="00141F41">
        <w:rPr>
          <w:rFonts w:eastAsia="Times New Roman" w:cstheme="minorHAnsi"/>
          <w:sz w:val="26"/>
          <w:szCs w:val="26"/>
          <w:lang w:eastAsia="en-IN"/>
        </w:rPr>
        <w:t xml:space="preserve"> </w:t>
      </w:r>
      <w:r w:rsidRPr="0030051E">
        <w:rPr>
          <w:rFonts w:eastAsia="Times New Roman" w:cstheme="minorHAnsi"/>
          <w:sz w:val="26"/>
          <w:szCs w:val="26"/>
          <w:lang w:eastAsia="en-IN"/>
        </w:rPr>
        <w:t>1862.</w:t>
      </w:r>
    </w:p>
    <w:p w:rsidR="0030051E" w:rsidRPr="0030051E" w:rsidRDefault="0030051E" w:rsidP="0030051E">
      <w:pPr>
        <w:numPr>
          <w:ilvl w:val="0"/>
          <w:numId w:val="1"/>
        </w:numPr>
        <w:shd w:val="clear" w:color="auto" w:fill="FFFFFF"/>
        <w:spacing w:after="120" w:line="240" w:lineRule="auto"/>
        <w:ind w:left="0"/>
        <w:jc w:val="both"/>
        <w:rPr>
          <w:rFonts w:eastAsia="Times New Roman" w:cstheme="minorHAnsi"/>
          <w:sz w:val="26"/>
          <w:szCs w:val="26"/>
          <w:lang w:eastAsia="en-IN"/>
        </w:rPr>
      </w:pPr>
      <w:r w:rsidRPr="0030051E">
        <w:rPr>
          <w:rFonts w:eastAsia="Times New Roman" w:cstheme="minorHAnsi"/>
          <w:sz w:val="26"/>
          <w:szCs w:val="26"/>
          <w:lang w:eastAsia="en-IN"/>
        </w:rPr>
        <w:t>Indian High Court Act 1861 also gave power to set up other High Courts like the High Courts of the Presidency Towns with similar powers.</w:t>
      </w:r>
    </w:p>
    <w:p w:rsidR="0030051E" w:rsidRPr="0030051E" w:rsidRDefault="0030051E" w:rsidP="0030051E">
      <w:pPr>
        <w:numPr>
          <w:ilvl w:val="0"/>
          <w:numId w:val="1"/>
        </w:numPr>
        <w:shd w:val="clear" w:color="auto" w:fill="FFFFFF"/>
        <w:spacing w:after="120" w:line="240" w:lineRule="auto"/>
        <w:ind w:left="0"/>
        <w:jc w:val="both"/>
        <w:rPr>
          <w:rFonts w:eastAsia="Times New Roman" w:cstheme="minorHAnsi"/>
          <w:sz w:val="26"/>
          <w:szCs w:val="26"/>
          <w:lang w:eastAsia="en-IN"/>
        </w:rPr>
      </w:pPr>
      <w:r w:rsidRPr="0030051E">
        <w:rPr>
          <w:rFonts w:eastAsia="Times New Roman" w:cstheme="minorHAnsi"/>
          <w:sz w:val="26"/>
          <w:szCs w:val="26"/>
          <w:lang w:eastAsia="en-IN"/>
        </w:rPr>
        <w:t xml:space="preserve">Under this power, a High Court was established in 1866 at High Court of Judicature for the North-Western Provinces at Agra on 17 March 1866 by the Indian High Courts Act of 1861 replacing the </w:t>
      </w:r>
      <w:proofErr w:type="spellStart"/>
      <w:r w:rsidRPr="0030051E">
        <w:rPr>
          <w:rFonts w:eastAsia="Times New Roman" w:cstheme="minorHAnsi"/>
          <w:sz w:val="26"/>
          <w:szCs w:val="26"/>
          <w:lang w:eastAsia="en-IN"/>
        </w:rPr>
        <w:t>Sadr</w:t>
      </w:r>
      <w:proofErr w:type="spellEnd"/>
      <w:r w:rsidRPr="0030051E">
        <w:rPr>
          <w:rFonts w:eastAsia="Times New Roman" w:cstheme="minorHAnsi"/>
          <w:sz w:val="26"/>
          <w:szCs w:val="26"/>
          <w:lang w:eastAsia="en-IN"/>
        </w:rPr>
        <w:t xml:space="preserve"> </w:t>
      </w:r>
      <w:proofErr w:type="spellStart"/>
      <w:r w:rsidRPr="0030051E">
        <w:rPr>
          <w:rFonts w:eastAsia="Times New Roman" w:cstheme="minorHAnsi"/>
          <w:sz w:val="26"/>
          <w:szCs w:val="26"/>
          <w:lang w:eastAsia="en-IN"/>
        </w:rPr>
        <w:t>Diwani</w:t>
      </w:r>
      <w:proofErr w:type="spellEnd"/>
      <w:r w:rsidRPr="0030051E">
        <w:rPr>
          <w:rFonts w:eastAsia="Times New Roman" w:cstheme="minorHAnsi"/>
          <w:sz w:val="26"/>
          <w:szCs w:val="26"/>
          <w:lang w:eastAsia="en-IN"/>
        </w:rPr>
        <w:t xml:space="preserve"> </w:t>
      </w:r>
      <w:proofErr w:type="spellStart"/>
      <w:r w:rsidRPr="0030051E">
        <w:rPr>
          <w:rFonts w:eastAsia="Times New Roman" w:cstheme="minorHAnsi"/>
          <w:sz w:val="26"/>
          <w:szCs w:val="26"/>
          <w:lang w:eastAsia="en-IN"/>
        </w:rPr>
        <w:t>Adalat</w:t>
      </w:r>
      <w:proofErr w:type="spellEnd"/>
      <w:r w:rsidRPr="0030051E">
        <w:rPr>
          <w:rFonts w:eastAsia="Times New Roman" w:cstheme="minorHAnsi"/>
          <w:sz w:val="26"/>
          <w:szCs w:val="26"/>
          <w:lang w:eastAsia="en-IN"/>
        </w:rPr>
        <w:t>.</w:t>
      </w:r>
    </w:p>
    <w:p w:rsidR="0030051E" w:rsidRPr="0030051E" w:rsidRDefault="0030051E" w:rsidP="0030051E">
      <w:pPr>
        <w:numPr>
          <w:ilvl w:val="0"/>
          <w:numId w:val="1"/>
        </w:numPr>
        <w:shd w:val="clear" w:color="auto" w:fill="FFFFFF"/>
        <w:spacing w:after="0" w:line="240" w:lineRule="auto"/>
        <w:ind w:left="0"/>
        <w:jc w:val="both"/>
        <w:rPr>
          <w:rFonts w:eastAsia="Times New Roman" w:cstheme="minorHAnsi"/>
          <w:sz w:val="26"/>
          <w:szCs w:val="26"/>
          <w:lang w:eastAsia="en-IN"/>
        </w:rPr>
      </w:pPr>
      <w:r w:rsidRPr="0030051E">
        <w:rPr>
          <w:rFonts w:eastAsia="Times New Roman" w:cstheme="minorHAnsi"/>
          <w:sz w:val="26"/>
          <w:szCs w:val="26"/>
          <w:lang w:eastAsia="en-IN"/>
        </w:rPr>
        <w:t xml:space="preserve">Sir Walter Morgan, Barrister-at-Law was appointed the first Chief Justice of the High Court of North-Western Provinces. However it was shifted to Allahabad in 1869 and </w:t>
      </w:r>
      <w:r w:rsidRPr="0030051E">
        <w:rPr>
          <w:rFonts w:eastAsia="Times New Roman" w:cstheme="minorHAnsi"/>
          <w:sz w:val="26"/>
          <w:szCs w:val="26"/>
          <w:lang w:eastAsia="en-IN"/>
        </w:rPr>
        <w:lastRenderedPageBreak/>
        <w:t>the name was correspondingly changed to the </w:t>
      </w:r>
      <w:r w:rsidRPr="0030051E">
        <w:rPr>
          <w:rFonts w:eastAsia="Times New Roman" w:cstheme="minorHAnsi"/>
          <w:bCs/>
          <w:sz w:val="26"/>
          <w:szCs w:val="26"/>
          <w:lang w:eastAsia="en-IN"/>
        </w:rPr>
        <w:t>High Court of Judicature at Allahabad from 11 March 1919</w:t>
      </w:r>
      <w:r w:rsidRPr="0030051E">
        <w:rPr>
          <w:rFonts w:eastAsia="Times New Roman" w:cstheme="minorHAnsi"/>
          <w:sz w:val="26"/>
          <w:szCs w:val="26"/>
          <w:lang w:eastAsia="en-IN"/>
        </w:rPr>
        <w:t>.</w:t>
      </w:r>
    </w:p>
    <w:p w:rsidR="00346302" w:rsidRPr="0030051E" w:rsidRDefault="00346302" w:rsidP="0030051E">
      <w:pPr>
        <w:jc w:val="both"/>
        <w:rPr>
          <w:rFonts w:cstheme="minorHAnsi"/>
          <w:sz w:val="26"/>
          <w:szCs w:val="26"/>
        </w:rPr>
      </w:pPr>
    </w:p>
    <w:p w:rsidR="0030051E" w:rsidRPr="0030051E" w:rsidRDefault="0030051E" w:rsidP="0030051E">
      <w:pPr>
        <w:shd w:val="clear" w:color="auto" w:fill="FFFFFF"/>
        <w:spacing w:after="24" w:line="240" w:lineRule="auto"/>
        <w:jc w:val="both"/>
        <w:rPr>
          <w:rFonts w:eastAsia="Times New Roman" w:cstheme="minorHAnsi"/>
          <w:b/>
          <w:i/>
          <w:sz w:val="26"/>
          <w:szCs w:val="26"/>
          <w:lang w:eastAsia="en-IN"/>
        </w:rPr>
      </w:pPr>
      <w:r w:rsidRPr="0030051E">
        <w:rPr>
          <w:rFonts w:eastAsia="Times New Roman" w:cstheme="minorHAnsi"/>
          <w:b/>
          <w:i/>
          <w:sz w:val="26"/>
          <w:szCs w:val="26"/>
          <w:lang w:eastAsia="en-IN"/>
        </w:rPr>
        <w:t>COMPOSITION:</w:t>
      </w:r>
    </w:p>
    <w:p w:rsidR="0030051E" w:rsidRPr="0030051E" w:rsidRDefault="0030051E" w:rsidP="0030051E">
      <w:pPr>
        <w:shd w:val="clear" w:color="auto" w:fill="FFFFFF"/>
        <w:spacing w:after="0" w:line="240" w:lineRule="auto"/>
        <w:jc w:val="both"/>
        <w:rPr>
          <w:rFonts w:eastAsia="Times New Roman" w:cstheme="minorHAnsi"/>
          <w:sz w:val="26"/>
          <w:szCs w:val="26"/>
          <w:lang w:eastAsia="en-IN"/>
        </w:rPr>
      </w:pPr>
      <w:r w:rsidRPr="0030051E">
        <w:rPr>
          <w:rFonts w:eastAsia="Times New Roman" w:cstheme="minorHAnsi"/>
          <w:sz w:val="26"/>
          <w:szCs w:val="26"/>
          <w:lang w:eastAsia="en-IN"/>
        </w:rPr>
        <w:t>The Indian High Courts Act 1861 had also provided for the composition of the High Court.</w:t>
      </w:r>
    </w:p>
    <w:p w:rsidR="0030051E" w:rsidRDefault="0030051E" w:rsidP="0030051E">
      <w:pPr>
        <w:pStyle w:val="ListParagraph"/>
        <w:numPr>
          <w:ilvl w:val="0"/>
          <w:numId w:val="2"/>
        </w:numPr>
        <w:shd w:val="clear" w:color="auto" w:fill="FFFFFF"/>
        <w:spacing w:after="120" w:line="240" w:lineRule="auto"/>
        <w:jc w:val="both"/>
        <w:rPr>
          <w:rFonts w:eastAsia="Times New Roman" w:cstheme="minorHAnsi"/>
          <w:sz w:val="26"/>
          <w:szCs w:val="26"/>
          <w:lang w:eastAsia="en-IN"/>
        </w:rPr>
      </w:pPr>
      <w:r w:rsidRPr="0030051E">
        <w:rPr>
          <w:rFonts w:eastAsia="Times New Roman" w:cstheme="minorHAnsi"/>
          <w:sz w:val="26"/>
          <w:szCs w:val="26"/>
          <w:lang w:eastAsia="en-IN"/>
        </w:rPr>
        <w:t>Each High Court was to consist of a Chief Justice and NOT more than 15 regular judges</w:t>
      </w:r>
      <w:r>
        <w:rPr>
          <w:rFonts w:eastAsia="Times New Roman" w:cstheme="minorHAnsi"/>
          <w:sz w:val="26"/>
          <w:szCs w:val="26"/>
          <w:lang w:eastAsia="en-IN"/>
        </w:rPr>
        <w:t>.</w:t>
      </w:r>
    </w:p>
    <w:p w:rsidR="0030051E" w:rsidRDefault="0030051E" w:rsidP="0030051E">
      <w:pPr>
        <w:pStyle w:val="ListParagraph"/>
        <w:numPr>
          <w:ilvl w:val="0"/>
          <w:numId w:val="2"/>
        </w:numPr>
        <w:shd w:val="clear" w:color="auto" w:fill="FFFFFF"/>
        <w:spacing w:after="120" w:line="240" w:lineRule="auto"/>
        <w:jc w:val="both"/>
        <w:rPr>
          <w:rFonts w:eastAsia="Times New Roman" w:cstheme="minorHAnsi"/>
          <w:sz w:val="26"/>
          <w:szCs w:val="26"/>
          <w:lang w:eastAsia="en-IN"/>
        </w:rPr>
      </w:pPr>
      <w:r w:rsidRPr="0030051E">
        <w:rPr>
          <w:rFonts w:eastAsia="Times New Roman" w:cstheme="minorHAnsi"/>
          <w:sz w:val="26"/>
          <w:szCs w:val="26"/>
          <w:lang w:eastAsia="en-IN"/>
        </w:rPr>
        <w:t>The chief Justice and minimum of one third regular judges had to be barristers and minimum one third regular judges were to be from the “covenanted Civil Service”.</w:t>
      </w:r>
    </w:p>
    <w:p w:rsidR="0030051E" w:rsidRPr="0068133E" w:rsidRDefault="005C59B6" w:rsidP="0030051E">
      <w:pPr>
        <w:pStyle w:val="ListParagraph"/>
        <w:numPr>
          <w:ilvl w:val="0"/>
          <w:numId w:val="2"/>
        </w:numPr>
        <w:shd w:val="clear" w:color="auto" w:fill="FFFFFF"/>
        <w:spacing w:after="120" w:line="240" w:lineRule="auto"/>
        <w:jc w:val="both"/>
        <w:rPr>
          <w:rFonts w:eastAsia="Times New Roman" w:cstheme="minorHAnsi"/>
          <w:b/>
          <w:sz w:val="26"/>
          <w:szCs w:val="26"/>
          <w:lang w:eastAsia="en-IN"/>
        </w:rPr>
      </w:pPr>
      <w:r w:rsidRPr="0068133E">
        <w:rPr>
          <w:rFonts w:eastAsia="Times New Roman" w:cstheme="minorHAnsi"/>
          <w:b/>
          <w:sz w:val="26"/>
          <w:szCs w:val="26"/>
          <w:lang w:eastAsia="en-IN"/>
        </w:rPr>
        <w:t>All Judges were to</w:t>
      </w:r>
      <w:r w:rsidR="0030051E" w:rsidRPr="0068133E">
        <w:rPr>
          <w:rFonts w:eastAsia="Times New Roman" w:cstheme="minorHAnsi"/>
          <w:b/>
          <w:sz w:val="26"/>
          <w:szCs w:val="26"/>
          <w:lang w:eastAsia="en-IN"/>
        </w:rPr>
        <w:t xml:space="preserve"> be in the office on the </w:t>
      </w:r>
      <w:r w:rsidR="0030051E" w:rsidRPr="0068133E">
        <w:rPr>
          <w:rFonts w:eastAsia="Times New Roman" w:cstheme="minorHAnsi"/>
          <w:b/>
          <w:i/>
          <w:sz w:val="26"/>
          <w:szCs w:val="26"/>
          <w:lang w:eastAsia="en-IN"/>
        </w:rPr>
        <w:t>pleasure of the Crown.</w:t>
      </w:r>
    </w:p>
    <w:p w:rsidR="0030051E" w:rsidRDefault="0030051E" w:rsidP="0030051E">
      <w:pPr>
        <w:shd w:val="clear" w:color="auto" w:fill="FFFFFF"/>
        <w:spacing w:after="24" w:line="240" w:lineRule="auto"/>
        <w:jc w:val="both"/>
        <w:rPr>
          <w:rFonts w:eastAsia="Times New Roman" w:cstheme="minorHAnsi"/>
          <w:sz w:val="26"/>
          <w:szCs w:val="26"/>
          <w:lang w:eastAsia="en-IN"/>
        </w:rPr>
      </w:pPr>
    </w:p>
    <w:p w:rsidR="0030051E" w:rsidRPr="0030051E" w:rsidRDefault="0030051E" w:rsidP="0030051E">
      <w:pPr>
        <w:shd w:val="clear" w:color="auto" w:fill="FFFFFF"/>
        <w:spacing w:after="24" w:line="240" w:lineRule="auto"/>
        <w:jc w:val="both"/>
        <w:rPr>
          <w:rFonts w:eastAsia="Times New Roman" w:cstheme="minorHAnsi"/>
          <w:b/>
          <w:i/>
          <w:sz w:val="26"/>
          <w:szCs w:val="26"/>
          <w:lang w:eastAsia="en-IN"/>
        </w:rPr>
      </w:pPr>
      <w:r w:rsidRPr="0030051E">
        <w:rPr>
          <w:rFonts w:eastAsia="Times New Roman" w:cstheme="minorHAnsi"/>
          <w:b/>
          <w:i/>
          <w:sz w:val="26"/>
          <w:szCs w:val="26"/>
          <w:lang w:eastAsia="en-IN"/>
        </w:rPr>
        <w:t>JURISDICTION:</w:t>
      </w:r>
    </w:p>
    <w:p w:rsidR="0030051E" w:rsidRPr="0030051E" w:rsidRDefault="0030051E" w:rsidP="0030051E">
      <w:pPr>
        <w:shd w:val="clear" w:color="auto" w:fill="FFFFFF"/>
        <w:spacing w:after="24" w:line="240" w:lineRule="auto"/>
        <w:jc w:val="both"/>
        <w:rPr>
          <w:rFonts w:eastAsia="Times New Roman" w:cstheme="minorHAnsi"/>
          <w:sz w:val="26"/>
          <w:szCs w:val="26"/>
          <w:lang w:eastAsia="en-IN"/>
        </w:rPr>
      </w:pPr>
      <w:r w:rsidRPr="0030051E">
        <w:rPr>
          <w:rFonts w:eastAsia="Times New Roman" w:cstheme="minorHAnsi"/>
          <w:sz w:val="26"/>
          <w:szCs w:val="26"/>
          <w:lang w:eastAsia="en-IN"/>
        </w:rPr>
        <w:t>The High Courts had an Original as well as an Appellate Jurisdiction the former derived from the Supreme C</w:t>
      </w:r>
      <w:r w:rsidR="00605410">
        <w:rPr>
          <w:rFonts w:eastAsia="Times New Roman" w:cstheme="minorHAnsi"/>
          <w:sz w:val="26"/>
          <w:szCs w:val="26"/>
          <w:lang w:eastAsia="en-IN"/>
        </w:rPr>
        <w:t xml:space="preserve">ourt, and the latter from the </w:t>
      </w:r>
      <w:proofErr w:type="spellStart"/>
      <w:r w:rsidR="00605410">
        <w:rPr>
          <w:rFonts w:eastAsia="Times New Roman" w:cstheme="minorHAnsi"/>
          <w:sz w:val="26"/>
          <w:szCs w:val="26"/>
          <w:lang w:eastAsia="en-IN"/>
        </w:rPr>
        <w:t>Saddar</w:t>
      </w:r>
      <w:proofErr w:type="spellEnd"/>
      <w:r w:rsidR="00605410">
        <w:rPr>
          <w:rFonts w:eastAsia="Times New Roman" w:cstheme="minorHAnsi"/>
          <w:sz w:val="26"/>
          <w:szCs w:val="26"/>
          <w:lang w:eastAsia="en-IN"/>
        </w:rPr>
        <w:t xml:space="preserve"> </w:t>
      </w:r>
      <w:proofErr w:type="spellStart"/>
      <w:r w:rsidR="00605410">
        <w:rPr>
          <w:rFonts w:eastAsia="Times New Roman" w:cstheme="minorHAnsi"/>
          <w:sz w:val="26"/>
          <w:szCs w:val="26"/>
          <w:lang w:eastAsia="en-IN"/>
        </w:rPr>
        <w:t>Diwani</w:t>
      </w:r>
      <w:proofErr w:type="spellEnd"/>
      <w:r w:rsidR="00605410">
        <w:rPr>
          <w:rFonts w:eastAsia="Times New Roman" w:cstheme="minorHAnsi"/>
          <w:sz w:val="26"/>
          <w:szCs w:val="26"/>
          <w:lang w:eastAsia="en-IN"/>
        </w:rPr>
        <w:t xml:space="preserve"> and </w:t>
      </w:r>
      <w:proofErr w:type="spellStart"/>
      <w:r w:rsidR="00605410">
        <w:rPr>
          <w:rFonts w:eastAsia="Times New Roman" w:cstheme="minorHAnsi"/>
          <w:sz w:val="26"/>
          <w:szCs w:val="26"/>
          <w:lang w:eastAsia="en-IN"/>
        </w:rPr>
        <w:t>Sadda</w:t>
      </w:r>
      <w:r w:rsidRPr="0030051E">
        <w:rPr>
          <w:rFonts w:eastAsia="Times New Roman" w:cstheme="minorHAnsi"/>
          <w:sz w:val="26"/>
          <w:szCs w:val="26"/>
          <w:lang w:eastAsia="en-IN"/>
        </w:rPr>
        <w:t>r</w:t>
      </w:r>
      <w:proofErr w:type="spellEnd"/>
      <w:r w:rsidRPr="0030051E">
        <w:rPr>
          <w:rFonts w:eastAsia="Times New Roman" w:cstheme="minorHAnsi"/>
          <w:sz w:val="26"/>
          <w:szCs w:val="26"/>
          <w:lang w:eastAsia="en-IN"/>
        </w:rPr>
        <w:t xml:space="preserve"> </w:t>
      </w:r>
      <w:proofErr w:type="spellStart"/>
      <w:r w:rsidRPr="0030051E">
        <w:rPr>
          <w:rFonts w:eastAsia="Times New Roman" w:cstheme="minorHAnsi"/>
          <w:sz w:val="26"/>
          <w:szCs w:val="26"/>
          <w:lang w:eastAsia="en-IN"/>
        </w:rPr>
        <w:t>Foujdari</w:t>
      </w:r>
      <w:proofErr w:type="spellEnd"/>
      <w:r w:rsidRPr="0030051E">
        <w:rPr>
          <w:rFonts w:eastAsia="Times New Roman" w:cstheme="minorHAnsi"/>
          <w:sz w:val="26"/>
          <w:szCs w:val="26"/>
          <w:lang w:eastAsia="en-IN"/>
        </w:rPr>
        <w:t xml:space="preserve"> </w:t>
      </w:r>
      <w:proofErr w:type="spellStart"/>
      <w:r w:rsidRPr="0030051E">
        <w:rPr>
          <w:rFonts w:eastAsia="Times New Roman" w:cstheme="minorHAnsi"/>
          <w:sz w:val="26"/>
          <w:szCs w:val="26"/>
          <w:lang w:eastAsia="en-IN"/>
        </w:rPr>
        <w:t>Adalats</w:t>
      </w:r>
      <w:proofErr w:type="spellEnd"/>
      <w:r w:rsidRPr="0030051E">
        <w:rPr>
          <w:rFonts w:eastAsia="Times New Roman" w:cstheme="minorHAnsi"/>
          <w:sz w:val="26"/>
          <w:szCs w:val="26"/>
          <w:lang w:eastAsia="en-IN"/>
        </w:rPr>
        <w:t>, which were merged in the High Court.</w:t>
      </w:r>
    </w:p>
    <w:p w:rsidR="0030051E" w:rsidRPr="0068133E" w:rsidRDefault="0030051E" w:rsidP="0030051E">
      <w:pPr>
        <w:pStyle w:val="NormalWeb"/>
        <w:shd w:val="clear" w:color="auto" w:fill="FFFFFF"/>
        <w:spacing w:before="120" w:beforeAutospacing="0" w:after="120" w:afterAutospacing="0"/>
        <w:jc w:val="both"/>
        <w:rPr>
          <w:rFonts w:asciiTheme="minorHAnsi" w:hAnsiTheme="minorHAnsi" w:cstheme="minorHAnsi"/>
          <w:b/>
          <w:sz w:val="26"/>
          <w:szCs w:val="26"/>
        </w:rPr>
      </w:pPr>
      <w:r w:rsidRPr="0068133E">
        <w:rPr>
          <w:rFonts w:asciiTheme="minorHAnsi" w:hAnsiTheme="minorHAnsi" w:cstheme="minorHAnsi"/>
          <w:b/>
          <w:sz w:val="26"/>
          <w:szCs w:val="26"/>
        </w:rPr>
        <w:t xml:space="preserve">Each High Court could consist of a chief justice and up to 15 judges. Under Section 3 of the Act, judges could be selected from barristers (with 5 years of experience), civil servants (with 10 years of experience including 3 years as a </w:t>
      </w:r>
      <w:proofErr w:type="spellStart"/>
      <w:r w:rsidRPr="0068133E">
        <w:rPr>
          <w:rFonts w:asciiTheme="minorHAnsi" w:hAnsiTheme="minorHAnsi" w:cstheme="minorHAnsi"/>
          <w:b/>
          <w:sz w:val="26"/>
          <w:szCs w:val="26"/>
        </w:rPr>
        <w:t>zillah</w:t>
      </w:r>
      <w:proofErr w:type="spellEnd"/>
      <w:r w:rsidRPr="0068133E">
        <w:rPr>
          <w:rFonts w:asciiTheme="minorHAnsi" w:hAnsiTheme="minorHAnsi" w:cstheme="minorHAnsi"/>
          <w:b/>
          <w:sz w:val="26"/>
          <w:szCs w:val="26"/>
        </w:rPr>
        <w:t xml:space="preserve"> judge), judges of small cause courts or </w:t>
      </w:r>
      <w:proofErr w:type="spellStart"/>
      <w:r w:rsidRPr="0068133E">
        <w:rPr>
          <w:rFonts w:asciiTheme="minorHAnsi" w:hAnsiTheme="minorHAnsi" w:cstheme="minorHAnsi"/>
          <w:b/>
          <w:sz w:val="26"/>
          <w:szCs w:val="26"/>
        </w:rPr>
        <w:t>sudder</w:t>
      </w:r>
      <w:proofErr w:type="spellEnd"/>
      <w:r w:rsidRPr="0068133E">
        <w:rPr>
          <w:rFonts w:asciiTheme="minorHAnsi" w:hAnsiTheme="minorHAnsi" w:cstheme="minorHAnsi"/>
          <w:b/>
          <w:sz w:val="26"/>
          <w:szCs w:val="26"/>
        </w:rPr>
        <w:t xml:space="preserve"> </w:t>
      </w:r>
      <w:proofErr w:type="spellStart"/>
      <w:r w:rsidRPr="0068133E">
        <w:rPr>
          <w:rFonts w:asciiTheme="minorHAnsi" w:hAnsiTheme="minorHAnsi" w:cstheme="minorHAnsi"/>
          <w:b/>
          <w:sz w:val="26"/>
          <w:szCs w:val="26"/>
        </w:rPr>
        <w:t>ameen</w:t>
      </w:r>
      <w:proofErr w:type="spellEnd"/>
      <w:r w:rsidRPr="0068133E">
        <w:rPr>
          <w:rFonts w:asciiTheme="minorHAnsi" w:hAnsiTheme="minorHAnsi" w:cstheme="minorHAnsi"/>
          <w:b/>
          <w:sz w:val="26"/>
          <w:szCs w:val="26"/>
        </w:rPr>
        <w:t xml:space="preserve"> (with 5 years of experience), or pleaders of </w:t>
      </w:r>
      <w:proofErr w:type="spellStart"/>
      <w:r w:rsidRPr="0068133E">
        <w:rPr>
          <w:rFonts w:asciiTheme="minorHAnsi" w:hAnsiTheme="minorHAnsi" w:cstheme="minorHAnsi"/>
          <w:b/>
          <w:sz w:val="26"/>
          <w:szCs w:val="26"/>
        </w:rPr>
        <w:t>lander</w:t>
      </w:r>
      <w:proofErr w:type="spellEnd"/>
      <w:r w:rsidRPr="0068133E">
        <w:rPr>
          <w:rFonts w:asciiTheme="minorHAnsi" w:hAnsiTheme="minorHAnsi" w:cstheme="minorHAnsi"/>
          <w:b/>
          <w:sz w:val="26"/>
          <w:szCs w:val="26"/>
        </w:rPr>
        <w:t xml:space="preserve"> courts or High Courts (with 5 years of experience).</w:t>
      </w:r>
    </w:p>
    <w:p w:rsid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Pr>
          <w:rFonts w:asciiTheme="minorHAnsi" w:hAnsiTheme="minorHAnsi" w:cstheme="minorHAnsi"/>
          <w:sz w:val="26"/>
          <w:szCs w:val="26"/>
        </w:rPr>
        <w:t>The High Court of a State wa</w:t>
      </w:r>
      <w:r w:rsidRPr="0030051E">
        <w:rPr>
          <w:rFonts w:asciiTheme="minorHAnsi" w:hAnsiTheme="minorHAnsi" w:cstheme="minorHAnsi"/>
          <w:sz w:val="26"/>
          <w:szCs w:val="26"/>
        </w:rPr>
        <w:t xml:space="preserve">s the highest court of the State and all other courts of the State work under it. Normally there is one High Court in every State but there can be only one High Court for two or more States as well, according to the constitution. There is one High Court at Chandigarh for Punjab, Haryana and Union Territory of Chandigarh. Similarly there is one High Court at </w:t>
      </w:r>
      <w:proofErr w:type="spellStart"/>
      <w:r w:rsidRPr="0030051E">
        <w:rPr>
          <w:rFonts w:asciiTheme="minorHAnsi" w:hAnsiTheme="minorHAnsi" w:cstheme="minorHAnsi"/>
          <w:sz w:val="26"/>
          <w:szCs w:val="26"/>
        </w:rPr>
        <w:t>Guwahati</w:t>
      </w:r>
      <w:proofErr w:type="spellEnd"/>
      <w:r w:rsidRPr="0030051E">
        <w:rPr>
          <w:rFonts w:asciiTheme="minorHAnsi" w:hAnsiTheme="minorHAnsi" w:cstheme="minorHAnsi"/>
          <w:sz w:val="26"/>
          <w:szCs w:val="26"/>
        </w:rPr>
        <w:t xml:space="preserve"> which serves Assam, Arunachal Pradesh, Mizoram and Nagaland.</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p>
    <w:p w:rsidR="0030051E" w:rsidRPr="0068133E" w:rsidRDefault="0030051E" w:rsidP="0030051E">
      <w:pPr>
        <w:pStyle w:val="NormalWeb"/>
        <w:shd w:val="clear" w:color="auto" w:fill="FFFFFF"/>
        <w:spacing w:before="120" w:beforeAutospacing="0" w:after="120" w:afterAutospacing="0"/>
        <w:jc w:val="both"/>
        <w:rPr>
          <w:rFonts w:asciiTheme="minorHAnsi" w:hAnsiTheme="minorHAnsi" w:cstheme="minorHAnsi"/>
          <w:b/>
          <w:i/>
          <w:color w:val="FF0000"/>
          <w:sz w:val="26"/>
          <w:szCs w:val="26"/>
        </w:rPr>
      </w:pPr>
      <w:r w:rsidRPr="0068133E">
        <w:rPr>
          <w:rFonts w:asciiTheme="minorHAnsi" w:hAnsiTheme="minorHAnsi" w:cstheme="minorHAnsi"/>
          <w:b/>
          <w:i/>
          <w:color w:val="FF0000"/>
          <w:sz w:val="26"/>
          <w:szCs w:val="26"/>
        </w:rPr>
        <w:t>QUALIFICATIONS FOR THE JUDGES</w:t>
      </w:r>
      <w:r w:rsidR="00605410" w:rsidRPr="0068133E">
        <w:rPr>
          <w:rFonts w:asciiTheme="minorHAnsi" w:hAnsiTheme="minorHAnsi" w:cstheme="minorHAnsi"/>
          <w:b/>
          <w:i/>
          <w:color w:val="FF0000"/>
          <w:sz w:val="26"/>
          <w:szCs w:val="26"/>
        </w:rPr>
        <w:t xml:space="preserve"> (present)</w:t>
      </w:r>
      <w:r w:rsidRPr="0068133E">
        <w:rPr>
          <w:rFonts w:asciiTheme="minorHAnsi" w:hAnsiTheme="minorHAnsi" w:cstheme="minorHAnsi"/>
          <w:b/>
          <w:i/>
          <w:color w:val="FF0000"/>
          <w:sz w:val="26"/>
          <w:szCs w:val="26"/>
        </w:rPr>
        <w:t>:</w:t>
      </w:r>
    </w:p>
    <w:p w:rsidR="0030051E" w:rsidRPr="0068133E" w:rsidRDefault="0030051E" w:rsidP="0030051E">
      <w:pPr>
        <w:pStyle w:val="NormalWeb"/>
        <w:shd w:val="clear" w:color="auto" w:fill="FFFFFF"/>
        <w:spacing w:before="120" w:beforeAutospacing="0" w:after="120" w:afterAutospacing="0"/>
        <w:jc w:val="both"/>
        <w:rPr>
          <w:rFonts w:asciiTheme="minorHAnsi" w:hAnsiTheme="minorHAnsi" w:cstheme="minorHAnsi"/>
          <w:b/>
          <w:color w:val="FF0000"/>
          <w:sz w:val="26"/>
          <w:szCs w:val="26"/>
        </w:rPr>
      </w:pPr>
      <w:r w:rsidRPr="0068133E">
        <w:rPr>
          <w:rFonts w:asciiTheme="minorHAnsi" w:hAnsiTheme="minorHAnsi" w:cstheme="minorHAnsi"/>
          <w:b/>
          <w:color w:val="FF0000"/>
          <w:sz w:val="26"/>
          <w:szCs w:val="26"/>
        </w:rPr>
        <w:t>(a) He should be a citizen of India.</w:t>
      </w:r>
    </w:p>
    <w:p w:rsidR="0030051E" w:rsidRPr="0068133E" w:rsidRDefault="0030051E" w:rsidP="0030051E">
      <w:pPr>
        <w:pStyle w:val="NormalWeb"/>
        <w:shd w:val="clear" w:color="auto" w:fill="FFFFFF"/>
        <w:spacing w:before="120" w:beforeAutospacing="0" w:after="120" w:afterAutospacing="0"/>
        <w:jc w:val="both"/>
        <w:rPr>
          <w:rFonts w:asciiTheme="minorHAnsi" w:hAnsiTheme="minorHAnsi" w:cstheme="minorHAnsi"/>
          <w:b/>
          <w:color w:val="FF0000"/>
          <w:sz w:val="26"/>
          <w:szCs w:val="26"/>
        </w:rPr>
      </w:pPr>
      <w:r w:rsidRPr="0068133E">
        <w:rPr>
          <w:rFonts w:asciiTheme="minorHAnsi" w:hAnsiTheme="minorHAnsi" w:cstheme="minorHAnsi"/>
          <w:b/>
          <w:color w:val="FF0000"/>
          <w:sz w:val="26"/>
          <w:szCs w:val="26"/>
        </w:rPr>
        <w:t>(b) He should have been (I) a judge for 10 years of Subordinate court under the Judicial Service of the State or (ii) an Advocate for 10 years in a High Courts in India</w:t>
      </w:r>
    </w:p>
    <w:p w:rsidR="0030051E" w:rsidRDefault="0030051E" w:rsidP="0030051E">
      <w:pPr>
        <w:jc w:val="both"/>
        <w:rPr>
          <w:rFonts w:cstheme="minorHAnsi"/>
          <w:b/>
          <w:i/>
          <w:sz w:val="26"/>
          <w:szCs w:val="26"/>
          <w:shd w:val="clear" w:color="auto" w:fill="FFFFFF"/>
        </w:rPr>
      </w:pPr>
    </w:p>
    <w:p w:rsidR="0030051E" w:rsidRDefault="0030051E" w:rsidP="0030051E">
      <w:pPr>
        <w:jc w:val="both"/>
        <w:rPr>
          <w:rFonts w:cstheme="minorHAnsi"/>
          <w:b/>
          <w:i/>
          <w:sz w:val="26"/>
          <w:szCs w:val="26"/>
          <w:shd w:val="clear" w:color="auto" w:fill="FFFFFF"/>
        </w:rPr>
      </w:pPr>
    </w:p>
    <w:p w:rsidR="0030051E" w:rsidRDefault="0030051E" w:rsidP="0030051E">
      <w:pPr>
        <w:jc w:val="both"/>
        <w:rPr>
          <w:rFonts w:cstheme="minorHAnsi"/>
          <w:b/>
          <w:i/>
          <w:sz w:val="26"/>
          <w:szCs w:val="26"/>
          <w:shd w:val="clear" w:color="auto" w:fill="FFFFFF"/>
        </w:rPr>
      </w:pPr>
    </w:p>
    <w:p w:rsidR="00605410" w:rsidRDefault="00605410" w:rsidP="0030051E">
      <w:pPr>
        <w:jc w:val="both"/>
        <w:rPr>
          <w:rFonts w:cstheme="minorHAnsi"/>
          <w:b/>
          <w:i/>
          <w:sz w:val="26"/>
          <w:szCs w:val="26"/>
          <w:shd w:val="clear" w:color="auto" w:fill="FFFFFF"/>
        </w:rPr>
      </w:pPr>
    </w:p>
    <w:p w:rsidR="0030051E" w:rsidRPr="0030051E" w:rsidRDefault="0030051E" w:rsidP="0030051E">
      <w:pPr>
        <w:jc w:val="both"/>
        <w:rPr>
          <w:rFonts w:cstheme="minorHAnsi"/>
          <w:b/>
          <w:i/>
          <w:sz w:val="26"/>
          <w:szCs w:val="26"/>
          <w:shd w:val="clear" w:color="auto" w:fill="FFFFFF"/>
        </w:rPr>
      </w:pPr>
      <w:r w:rsidRPr="0030051E">
        <w:rPr>
          <w:rFonts w:cstheme="minorHAnsi"/>
          <w:b/>
          <w:i/>
          <w:sz w:val="26"/>
          <w:szCs w:val="26"/>
          <w:shd w:val="clear" w:color="auto" w:fill="FFFFFF"/>
        </w:rPr>
        <w:lastRenderedPageBreak/>
        <w:t>TENURE</w:t>
      </w:r>
      <w:r>
        <w:rPr>
          <w:rFonts w:cstheme="minorHAnsi"/>
          <w:b/>
          <w:i/>
          <w:sz w:val="26"/>
          <w:szCs w:val="26"/>
          <w:shd w:val="clear" w:color="auto" w:fill="FFFFFF"/>
        </w:rPr>
        <w:t xml:space="preserve"> OF JUDGES</w:t>
      </w:r>
      <w:r w:rsidRPr="0030051E">
        <w:rPr>
          <w:rFonts w:cstheme="minorHAnsi"/>
          <w:b/>
          <w:i/>
          <w:sz w:val="26"/>
          <w:szCs w:val="26"/>
          <w:shd w:val="clear" w:color="auto" w:fill="FFFFFF"/>
        </w:rPr>
        <w:t xml:space="preserve">: </w:t>
      </w:r>
    </w:p>
    <w:p w:rsidR="0030051E" w:rsidRPr="0068133E" w:rsidRDefault="0030051E" w:rsidP="0030051E">
      <w:pPr>
        <w:jc w:val="both"/>
        <w:rPr>
          <w:rFonts w:cstheme="minorHAnsi"/>
          <w:b/>
          <w:color w:val="C00000"/>
          <w:sz w:val="26"/>
          <w:szCs w:val="26"/>
          <w:shd w:val="clear" w:color="auto" w:fill="FFFFFF"/>
        </w:rPr>
      </w:pPr>
      <w:r w:rsidRPr="0068133E">
        <w:rPr>
          <w:rFonts w:cstheme="minorHAnsi"/>
          <w:b/>
          <w:color w:val="C00000"/>
          <w:sz w:val="26"/>
          <w:szCs w:val="26"/>
          <w:shd w:val="clear" w:color="auto" w:fill="FFFFFF"/>
        </w:rPr>
        <w:t xml:space="preserve">Originally the age of the retirement of the judges of the High </w:t>
      </w:r>
      <w:proofErr w:type="spellStart"/>
      <w:r w:rsidRPr="0068133E">
        <w:rPr>
          <w:rFonts w:cstheme="minorHAnsi"/>
          <w:b/>
          <w:color w:val="C00000"/>
          <w:sz w:val="26"/>
          <w:szCs w:val="26"/>
          <w:shd w:val="clear" w:color="auto" w:fill="FFFFFF"/>
        </w:rPr>
        <w:t>Courts</w:t>
      </w:r>
      <w:proofErr w:type="spellEnd"/>
      <w:r w:rsidRPr="0068133E">
        <w:rPr>
          <w:rFonts w:cstheme="minorHAnsi"/>
          <w:b/>
          <w:color w:val="C00000"/>
          <w:sz w:val="26"/>
          <w:szCs w:val="26"/>
          <w:shd w:val="clear" w:color="auto" w:fill="FFFFFF"/>
        </w:rPr>
        <w:t xml:space="preserve"> was fixed at 60 but it was raised to 62 in 1963 according to the 15th amendment of the Constitution.</w:t>
      </w:r>
    </w:p>
    <w:p w:rsidR="0030051E" w:rsidRPr="0030051E" w:rsidRDefault="0030051E" w:rsidP="0030051E">
      <w:pPr>
        <w:jc w:val="both"/>
        <w:rPr>
          <w:rFonts w:cstheme="minorHAnsi"/>
          <w:sz w:val="26"/>
          <w:szCs w:val="26"/>
          <w:shd w:val="clear" w:color="auto" w:fill="FFFFFF"/>
        </w:rPr>
      </w:pPr>
    </w:p>
    <w:p w:rsidR="0030051E" w:rsidRPr="0030051E" w:rsidRDefault="0030051E" w:rsidP="0030051E">
      <w:pPr>
        <w:jc w:val="both"/>
        <w:rPr>
          <w:rFonts w:cstheme="minorHAnsi"/>
          <w:b/>
          <w:i/>
          <w:sz w:val="26"/>
          <w:szCs w:val="26"/>
          <w:shd w:val="clear" w:color="auto" w:fill="FFFFFF"/>
        </w:rPr>
      </w:pPr>
      <w:r w:rsidRPr="0030051E">
        <w:rPr>
          <w:rFonts w:cstheme="minorHAnsi"/>
          <w:b/>
          <w:i/>
          <w:sz w:val="26"/>
          <w:szCs w:val="26"/>
          <w:shd w:val="clear" w:color="auto" w:fill="FFFFFF"/>
        </w:rPr>
        <w:t xml:space="preserve">REMOVAL OF THE JUDGES: </w:t>
      </w:r>
    </w:p>
    <w:p w:rsidR="0030051E" w:rsidRDefault="0030051E" w:rsidP="0030051E">
      <w:pPr>
        <w:jc w:val="both"/>
        <w:rPr>
          <w:rFonts w:cstheme="minorHAnsi"/>
          <w:sz w:val="26"/>
          <w:szCs w:val="26"/>
          <w:shd w:val="clear" w:color="auto" w:fill="FFFFFF"/>
        </w:rPr>
      </w:pPr>
      <w:r w:rsidRPr="0030051E">
        <w:rPr>
          <w:rFonts w:cstheme="minorHAnsi"/>
          <w:sz w:val="26"/>
          <w:szCs w:val="26"/>
          <w:shd w:val="clear" w:color="auto" w:fill="FFFFFF"/>
        </w:rPr>
        <w:t>A judge may leave his office by resigning. He will send his letter of resignation to the President. His office would be considered to have been vacated if he is appointed as a judge of the Supreme Court or is transferred to some other High Court. A judge of a High Court may also be removed like a judge of the Supreme Court. A judge of High Court may be removed by the President if the Parliament passes a motion against him by an absolute majority and 2/3rd majority of the members present and voting, both the Houses sitting separately</w:t>
      </w:r>
      <w:r>
        <w:rPr>
          <w:rFonts w:cstheme="minorHAnsi"/>
          <w:sz w:val="26"/>
          <w:szCs w:val="26"/>
          <w:shd w:val="clear" w:color="auto" w:fill="FFFFFF"/>
        </w:rPr>
        <w:t>.</w:t>
      </w:r>
    </w:p>
    <w:p w:rsidR="0030051E" w:rsidRPr="0030051E" w:rsidRDefault="0030051E" w:rsidP="0030051E">
      <w:pPr>
        <w:jc w:val="both"/>
        <w:rPr>
          <w:rFonts w:cstheme="minorHAnsi"/>
          <w:sz w:val="26"/>
          <w:szCs w:val="26"/>
          <w:shd w:val="clear" w:color="auto" w:fill="FFFFFF"/>
        </w:rPr>
      </w:pP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b/>
          <w:i/>
          <w:sz w:val="26"/>
          <w:szCs w:val="26"/>
        </w:rPr>
      </w:pPr>
      <w:r w:rsidRPr="0030051E">
        <w:rPr>
          <w:rFonts w:asciiTheme="minorHAnsi" w:hAnsiTheme="minorHAnsi" w:cstheme="minorHAnsi"/>
          <w:b/>
          <w:i/>
          <w:sz w:val="26"/>
          <w:szCs w:val="26"/>
        </w:rPr>
        <w:t>POWERS AND FUNCTIONS</w:t>
      </w:r>
      <w:r>
        <w:rPr>
          <w:rFonts w:asciiTheme="minorHAnsi" w:hAnsiTheme="minorHAnsi" w:cstheme="minorHAnsi"/>
          <w:b/>
          <w:i/>
          <w:sz w:val="26"/>
          <w:szCs w:val="26"/>
        </w:rPr>
        <w:t>:</w:t>
      </w:r>
    </w:p>
    <w:p w:rsidR="0030051E" w:rsidRDefault="0030051E" w:rsidP="0030051E">
      <w:pPr>
        <w:pStyle w:val="NormalWeb"/>
        <w:shd w:val="clear" w:color="auto" w:fill="FFFFFF"/>
        <w:spacing w:before="120" w:beforeAutospacing="0" w:after="120" w:afterAutospacing="0"/>
        <w:jc w:val="both"/>
        <w:rPr>
          <w:rFonts w:asciiTheme="minorHAnsi" w:hAnsiTheme="minorHAnsi" w:cstheme="minorHAnsi"/>
          <w:b/>
          <w:sz w:val="26"/>
          <w:szCs w:val="26"/>
        </w:rPr>
      </w:pP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b/>
          <w:sz w:val="26"/>
          <w:szCs w:val="26"/>
        </w:rPr>
      </w:pPr>
      <w:r w:rsidRPr="0030051E">
        <w:rPr>
          <w:rFonts w:asciiTheme="minorHAnsi" w:hAnsiTheme="minorHAnsi" w:cstheme="minorHAnsi"/>
          <w:b/>
          <w:sz w:val="26"/>
          <w:szCs w:val="26"/>
        </w:rPr>
        <w:t>Original Jurisdiction:</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 xml:space="preserve">The original </w:t>
      </w:r>
      <w:r>
        <w:rPr>
          <w:rFonts w:asciiTheme="minorHAnsi" w:hAnsiTheme="minorHAnsi" w:cstheme="minorHAnsi"/>
          <w:sz w:val="26"/>
          <w:szCs w:val="26"/>
        </w:rPr>
        <w:t>jurisdiction of the High Court wa</w:t>
      </w:r>
      <w:r w:rsidRPr="0030051E">
        <w:rPr>
          <w:rFonts w:asciiTheme="minorHAnsi" w:hAnsiTheme="minorHAnsi" w:cstheme="minorHAnsi"/>
          <w:sz w:val="26"/>
          <w:szCs w:val="26"/>
        </w:rPr>
        <w:t>s restricted.</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(a) Every High Court under Article 226 is empowered to issue writs, orders, directions including writs in the nature of Habeas Corpus, Mandamus, Prohibition, Quo-</w:t>
      </w:r>
      <w:proofErr w:type="spellStart"/>
      <w:r w:rsidRPr="0030051E">
        <w:rPr>
          <w:rFonts w:asciiTheme="minorHAnsi" w:hAnsiTheme="minorHAnsi" w:cstheme="minorHAnsi"/>
          <w:sz w:val="26"/>
          <w:szCs w:val="26"/>
        </w:rPr>
        <w:t>warranto</w:t>
      </w:r>
      <w:proofErr w:type="spellEnd"/>
      <w:r w:rsidRPr="0030051E">
        <w:rPr>
          <w:rFonts w:asciiTheme="minorHAnsi" w:hAnsiTheme="minorHAnsi" w:cstheme="minorHAnsi"/>
          <w:sz w:val="26"/>
          <w:szCs w:val="26"/>
        </w:rPr>
        <w:t xml:space="preserve"> and Certiorari or any of them to any person or authority </w:t>
      </w:r>
      <w:proofErr w:type="spellStart"/>
      <w:r w:rsidRPr="0030051E">
        <w:rPr>
          <w:rFonts w:asciiTheme="minorHAnsi" w:hAnsiTheme="minorHAnsi" w:cstheme="minorHAnsi"/>
          <w:sz w:val="26"/>
          <w:szCs w:val="26"/>
        </w:rPr>
        <w:t>with in</w:t>
      </w:r>
      <w:proofErr w:type="spellEnd"/>
      <w:r w:rsidRPr="0030051E">
        <w:rPr>
          <w:rFonts w:asciiTheme="minorHAnsi" w:hAnsiTheme="minorHAnsi" w:cstheme="minorHAnsi"/>
          <w:sz w:val="26"/>
          <w:szCs w:val="26"/>
        </w:rPr>
        <w:t xml:space="preserve"> its territory for the enforcement of the Fundamental Rights and for any other purpose.</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(b) The original jurisdiction of High Court extends to matters of admiralty, matrimonial, contempt of court and cases ordered to be transferred to High Court by lower court.</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 xml:space="preserve">(c) The High Courts of Mumbai, Kolkata and Chennai have original jurisdiction on hearing straightway cases involving the Christians and </w:t>
      </w:r>
      <w:proofErr w:type="spellStart"/>
      <w:r w:rsidRPr="0030051E">
        <w:rPr>
          <w:rFonts w:asciiTheme="minorHAnsi" w:hAnsiTheme="minorHAnsi" w:cstheme="minorHAnsi"/>
          <w:sz w:val="26"/>
          <w:szCs w:val="26"/>
        </w:rPr>
        <w:t>Parsies</w:t>
      </w:r>
      <w:proofErr w:type="spellEnd"/>
      <w:r w:rsidRPr="0030051E">
        <w:rPr>
          <w:rFonts w:asciiTheme="minorHAnsi" w:hAnsiTheme="minorHAnsi" w:cstheme="minorHAnsi"/>
          <w:sz w:val="26"/>
          <w:szCs w:val="26"/>
        </w:rPr>
        <w:t>.</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(d) The High Courts of Mumbai, Kolkata and Chennai exercise original civil jurisdiction when the amount involved is more than two thousand rupees.</w:t>
      </w:r>
    </w:p>
    <w:p w:rsidR="0030051E" w:rsidRDefault="0030051E" w:rsidP="0030051E">
      <w:pPr>
        <w:pStyle w:val="NormalWeb"/>
        <w:shd w:val="clear" w:color="auto" w:fill="FFFFFF"/>
        <w:spacing w:before="120" w:beforeAutospacing="0" w:after="120" w:afterAutospacing="0"/>
        <w:jc w:val="both"/>
        <w:rPr>
          <w:rFonts w:asciiTheme="minorHAnsi" w:hAnsiTheme="minorHAnsi" w:cstheme="minorHAnsi"/>
          <w:b/>
          <w:sz w:val="26"/>
          <w:szCs w:val="26"/>
        </w:rPr>
      </w:pP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b/>
          <w:sz w:val="26"/>
          <w:szCs w:val="26"/>
        </w:rPr>
      </w:pPr>
      <w:r w:rsidRPr="0030051E">
        <w:rPr>
          <w:rFonts w:asciiTheme="minorHAnsi" w:hAnsiTheme="minorHAnsi" w:cstheme="minorHAnsi"/>
          <w:b/>
          <w:sz w:val="26"/>
          <w:szCs w:val="26"/>
        </w:rPr>
        <w:t>Appellate Jurisdiction:</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 xml:space="preserve">The appellate jurisdiction of the High </w:t>
      </w:r>
      <w:proofErr w:type="spellStart"/>
      <w:r w:rsidRPr="0030051E">
        <w:rPr>
          <w:rFonts w:asciiTheme="minorHAnsi" w:hAnsiTheme="minorHAnsi" w:cstheme="minorHAnsi"/>
          <w:sz w:val="26"/>
          <w:szCs w:val="26"/>
        </w:rPr>
        <w:t>Courts</w:t>
      </w:r>
      <w:proofErr w:type="spellEnd"/>
      <w:r w:rsidRPr="0030051E">
        <w:rPr>
          <w:rFonts w:asciiTheme="minorHAnsi" w:hAnsiTheme="minorHAnsi" w:cstheme="minorHAnsi"/>
          <w:sz w:val="26"/>
          <w:szCs w:val="26"/>
        </w:rPr>
        <w:t xml:space="preserve"> extend</w:t>
      </w:r>
      <w:r w:rsidR="005C59B6">
        <w:rPr>
          <w:rFonts w:asciiTheme="minorHAnsi" w:hAnsiTheme="minorHAnsi" w:cstheme="minorHAnsi"/>
          <w:sz w:val="26"/>
          <w:szCs w:val="26"/>
        </w:rPr>
        <w:t>ed</w:t>
      </w:r>
      <w:r w:rsidRPr="0030051E">
        <w:rPr>
          <w:rFonts w:asciiTheme="minorHAnsi" w:hAnsiTheme="minorHAnsi" w:cstheme="minorHAnsi"/>
          <w:sz w:val="26"/>
          <w:szCs w:val="26"/>
        </w:rPr>
        <w:t xml:space="preserve"> so:</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lastRenderedPageBreak/>
        <w:t>(a) The High Court can hear appeals in civil cases if the amount involved in the case is at least Rs. 5000.</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(b) The High Court in criminal cases hears the appeal in which the accused has been sentenced to four years impri</w:t>
      </w:r>
      <w:r w:rsidR="005C59B6">
        <w:rPr>
          <w:rFonts w:asciiTheme="minorHAnsi" w:hAnsiTheme="minorHAnsi" w:cstheme="minorHAnsi"/>
          <w:sz w:val="26"/>
          <w:szCs w:val="26"/>
        </w:rPr>
        <w:t>sonment by the Sessions Judge.</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(c) The death sentence awarded by Sessions Judge is subject to approval by the High Court.</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 xml:space="preserve">(d) The High Court </w:t>
      </w:r>
      <w:proofErr w:type="gramStart"/>
      <w:r w:rsidRPr="0030051E">
        <w:rPr>
          <w:rFonts w:asciiTheme="minorHAnsi" w:hAnsiTheme="minorHAnsi" w:cstheme="minorHAnsi"/>
          <w:sz w:val="26"/>
          <w:szCs w:val="26"/>
        </w:rPr>
        <w:t>hear</w:t>
      </w:r>
      <w:proofErr w:type="gramEnd"/>
      <w:r w:rsidRPr="0030051E">
        <w:rPr>
          <w:rFonts w:asciiTheme="minorHAnsi" w:hAnsiTheme="minorHAnsi" w:cstheme="minorHAnsi"/>
          <w:sz w:val="26"/>
          <w:szCs w:val="26"/>
        </w:rPr>
        <w:t xml:space="preserve"> the cases involving interpretation of the Constitution or Law.</w:t>
      </w:r>
    </w:p>
    <w:p w:rsidR="0030051E" w:rsidRPr="0030051E" w:rsidRDefault="0030051E" w:rsidP="0030051E">
      <w:pPr>
        <w:pStyle w:val="NormalWeb"/>
        <w:shd w:val="clear" w:color="auto" w:fill="FFFFFF"/>
        <w:spacing w:before="120" w:beforeAutospacing="0" w:after="120" w:afterAutospacing="0"/>
        <w:jc w:val="both"/>
        <w:rPr>
          <w:rFonts w:asciiTheme="minorHAnsi" w:hAnsiTheme="minorHAnsi" w:cstheme="minorHAnsi"/>
          <w:sz w:val="26"/>
          <w:szCs w:val="26"/>
        </w:rPr>
      </w:pPr>
      <w:r w:rsidRPr="0030051E">
        <w:rPr>
          <w:rFonts w:asciiTheme="minorHAnsi" w:hAnsiTheme="minorHAnsi" w:cstheme="minorHAnsi"/>
          <w:sz w:val="26"/>
          <w:szCs w:val="26"/>
        </w:rPr>
        <w:t>(e) The High Court hears the cases on income tax, sales tax etc.</w:t>
      </w:r>
    </w:p>
    <w:p w:rsidR="0030051E" w:rsidRPr="0030051E" w:rsidRDefault="0030051E" w:rsidP="0030051E">
      <w:pPr>
        <w:jc w:val="both"/>
        <w:rPr>
          <w:rFonts w:cstheme="minorHAnsi"/>
          <w:sz w:val="26"/>
          <w:szCs w:val="26"/>
        </w:rPr>
      </w:pPr>
    </w:p>
    <w:sectPr w:rsidR="0030051E" w:rsidRPr="0030051E" w:rsidSect="003463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40DA0"/>
    <w:multiLevelType w:val="hybridMultilevel"/>
    <w:tmpl w:val="CE505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7F0074C"/>
    <w:multiLevelType w:val="multilevel"/>
    <w:tmpl w:val="15A4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30051E"/>
    <w:rsid w:val="00000980"/>
    <w:rsid w:val="0000334F"/>
    <w:rsid w:val="00003758"/>
    <w:rsid w:val="00003FF6"/>
    <w:rsid w:val="000044B5"/>
    <w:rsid w:val="00006D88"/>
    <w:rsid w:val="00007BCA"/>
    <w:rsid w:val="00007FEA"/>
    <w:rsid w:val="00010366"/>
    <w:rsid w:val="00010E33"/>
    <w:rsid w:val="0001526C"/>
    <w:rsid w:val="0002111C"/>
    <w:rsid w:val="000215D5"/>
    <w:rsid w:val="000241C1"/>
    <w:rsid w:val="00025ADC"/>
    <w:rsid w:val="00025CB2"/>
    <w:rsid w:val="0003359F"/>
    <w:rsid w:val="000339F6"/>
    <w:rsid w:val="00035EB4"/>
    <w:rsid w:val="00036701"/>
    <w:rsid w:val="000377A7"/>
    <w:rsid w:val="000379C8"/>
    <w:rsid w:val="000407C1"/>
    <w:rsid w:val="0004214B"/>
    <w:rsid w:val="00043F91"/>
    <w:rsid w:val="00044D67"/>
    <w:rsid w:val="00047E65"/>
    <w:rsid w:val="00050BC7"/>
    <w:rsid w:val="000545D2"/>
    <w:rsid w:val="00054F09"/>
    <w:rsid w:val="00055ECB"/>
    <w:rsid w:val="0005771D"/>
    <w:rsid w:val="0006326C"/>
    <w:rsid w:val="00065DD4"/>
    <w:rsid w:val="00066497"/>
    <w:rsid w:val="000664C0"/>
    <w:rsid w:val="000671E3"/>
    <w:rsid w:val="000678E8"/>
    <w:rsid w:val="0007289E"/>
    <w:rsid w:val="000754DB"/>
    <w:rsid w:val="00076E87"/>
    <w:rsid w:val="00080804"/>
    <w:rsid w:val="000808E3"/>
    <w:rsid w:val="00082C25"/>
    <w:rsid w:val="00082D44"/>
    <w:rsid w:val="00083051"/>
    <w:rsid w:val="00083369"/>
    <w:rsid w:val="00085569"/>
    <w:rsid w:val="00086569"/>
    <w:rsid w:val="00086E55"/>
    <w:rsid w:val="0008796E"/>
    <w:rsid w:val="00092552"/>
    <w:rsid w:val="000A2A1F"/>
    <w:rsid w:val="000A30FE"/>
    <w:rsid w:val="000B2802"/>
    <w:rsid w:val="000B61B2"/>
    <w:rsid w:val="000B66D5"/>
    <w:rsid w:val="000B77CA"/>
    <w:rsid w:val="000C2A8D"/>
    <w:rsid w:val="000C2AAD"/>
    <w:rsid w:val="000C2B3D"/>
    <w:rsid w:val="000C315B"/>
    <w:rsid w:val="000C44BA"/>
    <w:rsid w:val="000C61FA"/>
    <w:rsid w:val="000C7C4D"/>
    <w:rsid w:val="000D0E71"/>
    <w:rsid w:val="000D6B2E"/>
    <w:rsid w:val="000E1EDD"/>
    <w:rsid w:val="000E44ED"/>
    <w:rsid w:val="000E4BD2"/>
    <w:rsid w:val="000E5917"/>
    <w:rsid w:val="000E629E"/>
    <w:rsid w:val="000E735A"/>
    <w:rsid w:val="000F12CD"/>
    <w:rsid w:val="000F1EA2"/>
    <w:rsid w:val="000F38F4"/>
    <w:rsid w:val="000F3CF9"/>
    <w:rsid w:val="000F6EBC"/>
    <w:rsid w:val="001001B1"/>
    <w:rsid w:val="001014FF"/>
    <w:rsid w:val="0010411D"/>
    <w:rsid w:val="0010470F"/>
    <w:rsid w:val="0010520B"/>
    <w:rsid w:val="00105891"/>
    <w:rsid w:val="00106DC5"/>
    <w:rsid w:val="00106E32"/>
    <w:rsid w:val="00107BB4"/>
    <w:rsid w:val="0011181A"/>
    <w:rsid w:val="001129DC"/>
    <w:rsid w:val="0011337E"/>
    <w:rsid w:val="00115FD8"/>
    <w:rsid w:val="001210E8"/>
    <w:rsid w:val="0012202C"/>
    <w:rsid w:val="001239F8"/>
    <w:rsid w:val="00125376"/>
    <w:rsid w:val="0012549E"/>
    <w:rsid w:val="00130501"/>
    <w:rsid w:val="00133243"/>
    <w:rsid w:val="001346BA"/>
    <w:rsid w:val="00137E8A"/>
    <w:rsid w:val="00140EED"/>
    <w:rsid w:val="00141F41"/>
    <w:rsid w:val="001421DD"/>
    <w:rsid w:val="00142654"/>
    <w:rsid w:val="0014511D"/>
    <w:rsid w:val="00150DC0"/>
    <w:rsid w:val="00150F96"/>
    <w:rsid w:val="001543B8"/>
    <w:rsid w:val="00155CC5"/>
    <w:rsid w:val="00156EFC"/>
    <w:rsid w:val="0016686C"/>
    <w:rsid w:val="00166922"/>
    <w:rsid w:val="00166DF0"/>
    <w:rsid w:val="001719FF"/>
    <w:rsid w:val="0017241E"/>
    <w:rsid w:val="00172D89"/>
    <w:rsid w:val="001742B4"/>
    <w:rsid w:val="00174ED2"/>
    <w:rsid w:val="0017750F"/>
    <w:rsid w:val="00181F76"/>
    <w:rsid w:val="0018380B"/>
    <w:rsid w:val="00183E48"/>
    <w:rsid w:val="0018489B"/>
    <w:rsid w:val="00190768"/>
    <w:rsid w:val="00190CE2"/>
    <w:rsid w:val="00192CA8"/>
    <w:rsid w:val="00195A0D"/>
    <w:rsid w:val="00195C4A"/>
    <w:rsid w:val="00196DD9"/>
    <w:rsid w:val="001976C8"/>
    <w:rsid w:val="001A1D97"/>
    <w:rsid w:val="001A6232"/>
    <w:rsid w:val="001A7565"/>
    <w:rsid w:val="001B2591"/>
    <w:rsid w:val="001B6833"/>
    <w:rsid w:val="001B7998"/>
    <w:rsid w:val="001C0280"/>
    <w:rsid w:val="001C03C7"/>
    <w:rsid w:val="001C0CA3"/>
    <w:rsid w:val="001C26D2"/>
    <w:rsid w:val="001C5C54"/>
    <w:rsid w:val="001C61A9"/>
    <w:rsid w:val="001C775C"/>
    <w:rsid w:val="001D0F92"/>
    <w:rsid w:val="001D1136"/>
    <w:rsid w:val="001D195D"/>
    <w:rsid w:val="001D283F"/>
    <w:rsid w:val="001D3A10"/>
    <w:rsid w:val="001D517C"/>
    <w:rsid w:val="001D700A"/>
    <w:rsid w:val="001E076B"/>
    <w:rsid w:val="001E0805"/>
    <w:rsid w:val="001E1CEB"/>
    <w:rsid w:val="001E1D34"/>
    <w:rsid w:val="001F0BC4"/>
    <w:rsid w:val="001F39DC"/>
    <w:rsid w:val="001F5098"/>
    <w:rsid w:val="001F6DA1"/>
    <w:rsid w:val="00201128"/>
    <w:rsid w:val="00201A10"/>
    <w:rsid w:val="00202998"/>
    <w:rsid w:val="00203769"/>
    <w:rsid w:val="002048A0"/>
    <w:rsid w:val="002049E2"/>
    <w:rsid w:val="00206B17"/>
    <w:rsid w:val="00207961"/>
    <w:rsid w:val="002112EA"/>
    <w:rsid w:val="00212D00"/>
    <w:rsid w:val="00213F2E"/>
    <w:rsid w:val="002145FE"/>
    <w:rsid w:val="002162DC"/>
    <w:rsid w:val="00217EBA"/>
    <w:rsid w:val="002200DD"/>
    <w:rsid w:val="0022095F"/>
    <w:rsid w:val="00221CB2"/>
    <w:rsid w:val="0022210C"/>
    <w:rsid w:val="00227806"/>
    <w:rsid w:val="00227C20"/>
    <w:rsid w:val="00230C69"/>
    <w:rsid w:val="00231D4E"/>
    <w:rsid w:val="0023298F"/>
    <w:rsid w:val="00232BBF"/>
    <w:rsid w:val="002355A1"/>
    <w:rsid w:val="00235990"/>
    <w:rsid w:val="0023676C"/>
    <w:rsid w:val="00237F2C"/>
    <w:rsid w:val="00240C4E"/>
    <w:rsid w:val="00241988"/>
    <w:rsid w:val="002468A0"/>
    <w:rsid w:val="00246C99"/>
    <w:rsid w:val="00250B8D"/>
    <w:rsid w:val="00252E9E"/>
    <w:rsid w:val="002548B1"/>
    <w:rsid w:val="00256D2E"/>
    <w:rsid w:val="0025705F"/>
    <w:rsid w:val="0026085E"/>
    <w:rsid w:val="002632D0"/>
    <w:rsid w:val="00265589"/>
    <w:rsid w:val="00270BC1"/>
    <w:rsid w:val="002773D7"/>
    <w:rsid w:val="002778AD"/>
    <w:rsid w:val="00277D6F"/>
    <w:rsid w:val="00282584"/>
    <w:rsid w:val="00282F79"/>
    <w:rsid w:val="00284A92"/>
    <w:rsid w:val="00285E52"/>
    <w:rsid w:val="00285E5F"/>
    <w:rsid w:val="00286888"/>
    <w:rsid w:val="00287382"/>
    <w:rsid w:val="00291C3A"/>
    <w:rsid w:val="00294B9B"/>
    <w:rsid w:val="00296CFA"/>
    <w:rsid w:val="002A5BBE"/>
    <w:rsid w:val="002A5E50"/>
    <w:rsid w:val="002A6272"/>
    <w:rsid w:val="002A7B50"/>
    <w:rsid w:val="002B061B"/>
    <w:rsid w:val="002B084C"/>
    <w:rsid w:val="002B313C"/>
    <w:rsid w:val="002B4AE2"/>
    <w:rsid w:val="002B6DFC"/>
    <w:rsid w:val="002C348E"/>
    <w:rsid w:val="002C4013"/>
    <w:rsid w:val="002C4387"/>
    <w:rsid w:val="002C5303"/>
    <w:rsid w:val="002C7207"/>
    <w:rsid w:val="002D43DA"/>
    <w:rsid w:val="002D65EC"/>
    <w:rsid w:val="002D6CF7"/>
    <w:rsid w:val="002D7954"/>
    <w:rsid w:val="002E0FF5"/>
    <w:rsid w:val="002E1676"/>
    <w:rsid w:val="002E29FB"/>
    <w:rsid w:val="002E5A13"/>
    <w:rsid w:val="002E7CA1"/>
    <w:rsid w:val="002F1BF8"/>
    <w:rsid w:val="002F38E0"/>
    <w:rsid w:val="002F58E5"/>
    <w:rsid w:val="002F5E83"/>
    <w:rsid w:val="002F6BEA"/>
    <w:rsid w:val="002F7BB1"/>
    <w:rsid w:val="0030051E"/>
    <w:rsid w:val="003011C2"/>
    <w:rsid w:val="00301CC1"/>
    <w:rsid w:val="00303F1E"/>
    <w:rsid w:val="00305817"/>
    <w:rsid w:val="00310260"/>
    <w:rsid w:val="003102F9"/>
    <w:rsid w:val="00310B1F"/>
    <w:rsid w:val="00312088"/>
    <w:rsid w:val="00312E0A"/>
    <w:rsid w:val="00315A5C"/>
    <w:rsid w:val="003160B2"/>
    <w:rsid w:val="003162DE"/>
    <w:rsid w:val="00316B7A"/>
    <w:rsid w:val="00321750"/>
    <w:rsid w:val="00326DC0"/>
    <w:rsid w:val="00326E22"/>
    <w:rsid w:val="00327007"/>
    <w:rsid w:val="0033015E"/>
    <w:rsid w:val="0033565C"/>
    <w:rsid w:val="00336422"/>
    <w:rsid w:val="00336F99"/>
    <w:rsid w:val="00342922"/>
    <w:rsid w:val="003446E0"/>
    <w:rsid w:val="00346302"/>
    <w:rsid w:val="00351F9F"/>
    <w:rsid w:val="00353439"/>
    <w:rsid w:val="003536ED"/>
    <w:rsid w:val="00353F64"/>
    <w:rsid w:val="00355658"/>
    <w:rsid w:val="0035630E"/>
    <w:rsid w:val="00361C66"/>
    <w:rsid w:val="003620DA"/>
    <w:rsid w:val="00362F11"/>
    <w:rsid w:val="00365B69"/>
    <w:rsid w:val="00372553"/>
    <w:rsid w:val="003725AC"/>
    <w:rsid w:val="00372E52"/>
    <w:rsid w:val="0037475B"/>
    <w:rsid w:val="00376EAF"/>
    <w:rsid w:val="00377965"/>
    <w:rsid w:val="0038211B"/>
    <w:rsid w:val="00382B1F"/>
    <w:rsid w:val="00383556"/>
    <w:rsid w:val="00383F81"/>
    <w:rsid w:val="003903E2"/>
    <w:rsid w:val="00392BEB"/>
    <w:rsid w:val="003939FD"/>
    <w:rsid w:val="00394ECF"/>
    <w:rsid w:val="003A0EAF"/>
    <w:rsid w:val="003A3208"/>
    <w:rsid w:val="003A7B92"/>
    <w:rsid w:val="003B0B4B"/>
    <w:rsid w:val="003B302B"/>
    <w:rsid w:val="003B3943"/>
    <w:rsid w:val="003B3D0A"/>
    <w:rsid w:val="003B4217"/>
    <w:rsid w:val="003B4D0C"/>
    <w:rsid w:val="003B60A5"/>
    <w:rsid w:val="003C1CB2"/>
    <w:rsid w:val="003C3249"/>
    <w:rsid w:val="003C4D4B"/>
    <w:rsid w:val="003C5D93"/>
    <w:rsid w:val="003D1ABC"/>
    <w:rsid w:val="003D3C2D"/>
    <w:rsid w:val="003D52E6"/>
    <w:rsid w:val="003D5ADD"/>
    <w:rsid w:val="003D6538"/>
    <w:rsid w:val="003E117C"/>
    <w:rsid w:val="003E2080"/>
    <w:rsid w:val="003E7CD1"/>
    <w:rsid w:val="003F092E"/>
    <w:rsid w:val="003F2167"/>
    <w:rsid w:val="003F2CBC"/>
    <w:rsid w:val="003F3880"/>
    <w:rsid w:val="003F729B"/>
    <w:rsid w:val="0040027A"/>
    <w:rsid w:val="00401297"/>
    <w:rsid w:val="004015F4"/>
    <w:rsid w:val="004038BB"/>
    <w:rsid w:val="00403AB8"/>
    <w:rsid w:val="00404C18"/>
    <w:rsid w:val="0040546F"/>
    <w:rsid w:val="004062D3"/>
    <w:rsid w:val="0041010D"/>
    <w:rsid w:val="00410F65"/>
    <w:rsid w:val="004118CD"/>
    <w:rsid w:val="004120DA"/>
    <w:rsid w:val="00413A0C"/>
    <w:rsid w:val="0042099F"/>
    <w:rsid w:val="00423D64"/>
    <w:rsid w:val="004241CA"/>
    <w:rsid w:val="00430EF2"/>
    <w:rsid w:val="00431436"/>
    <w:rsid w:val="0043175D"/>
    <w:rsid w:val="00432D06"/>
    <w:rsid w:val="00435AF5"/>
    <w:rsid w:val="00436847"/>
    <w:rsid w:val="00437256"/>
    <w:rsid w:val="00437759"/>
    <w:rsid w:val="00440323"/>
    <w:rsid w:val="00440B2F"/>
    <w:rsid w:val="0044108D"/>
    <w:rsid w:val="0044452D"/>
    <w:rsid w:val="00445B49"/>
    <w:rsid w:val="00447CCC"/>
    <w:rsid w:val="0045172E"/>
    <w:rsid w:val="004535F7"/>
    <w:rsid w:val="00456675"/>
    <w:rsid w:val="0045762A"/>
    <w:rsid w:val="00460B9E"/>
    <w:rsid w:val="00461890"/>
    <w:rsid w:val="00462BE9"/>
    <w:rsid w:val="00463425"/>
    <w:rsid w:val="00465200"/>
    <w:rsid w:val="00465580"/>
    <w:rsid w:val="00472B96"/>
    <w:rsid w:val="004733FD"/>
    <w:rsid w:val="004814AC"/>
    <w:rsid w:val="00483619"/>
    <w:rsid w:val="004838DA"/>
    <w:rsid w:val="004853FE"/>
    <w:rsid w:val="0048550F"/>
    <w:rsid w:val="004934B0"/>
    <w:rsid w:val="00494034"/>
    <w:rsid w:val="004959DB"/>
    <w:rsid w:val="00496030"/>
    <w:rsid w:val="00496FC6"/>
    <w:rsid w:val="00497D01"/>
    <w:rsid w:val="00497D89"/>
    <w:rsid w:val="004A1155"/>
    <w:rsid w:val="004A147F"/>
    <w:rsid w:val="004A1C10"/>
    <w:rsid w:val="004A3176"/>
    <w:rsid w:val="004A4DCC"/>
    <w:rsid w:val="004A63F4"/>
    <w:rsid w:val="004A6FCD"/>
    <w:rsid w:val="004B001B"/>
    <w:rsid w:val="004B0528"/>
    <w:rsid w:val="004B17EE"/>
    <w:rsid w:val="004B34B8"/>
    <w:rsid w:val="004B5AAA"/>
    <w:rsid w:val="004B7921"/>
    <w:rsid w:val="004B7D08"/>
    <w:rsid w:val="004C1597"/>
    <w:rsid w:val="004C2608"/>
    <w:rsid w:val="004C2F8A"/>
    <w:rsid w:val="004C447C"/>
    <w:rsid w:val="004C5CA2"/>
    <w:rsid w:val="004D04C8"/>
    <w:rsid w:val="004D0BBD"/>
    <w:rsid w:val="004D0E6C"/>
    <w:rsid w:val="004D1734"/>
    <w:rsid w:val="004D25A9"/>
    <w:rsid w:val="004D40CA"/>
    <w:rsid w:val="004D6D38"/>
    <w:rsid w:val="004E0733"/>
    <w:rsid w:val="004E2737"/>
    <w:rsid w:val="004E4438"/>
    <w:rsid w:val="004E5AF4"/>
    <w:rsid w:val="004F0BBD"/>
    <w:rsid w:val="004F3372"/>
    <w:rsid w:val="005008AF"/>
    <w:rsid w:val="00500CCE"/>
    <w:rsid w:val="00501C38"/>
    <w:rsid w:val="00503541"/>
    <w:rsid w:val="00505006"/>
    <w:rsid w:val="00505205"/>
    <w:rsid w:val="0050564A"/>
    <w:rsid w:val="00505AFD"/>
    <w:rsid w:val="005063C5"/>
    <w:rsid w:val="0050742C"/>
    <w:rsid w:val="005076A3"/>
    <w:rsid w:val="00507717"/>
    <w:rsid w:val="00511EF9"/>
    <w:rsid w:val="00512600"/>
    <w:rsid w:val="00512948"/>
    <w:rsid w:val="00512B02"/>
    <w:rsid w:val="00514CC0"/>
    <w:rsid w:val="005155C0"/>
    <w:rsid w:val="00516754"/>
    <w:rsid w:val="00516D1C"/>
    <w:rsid w:val="00517A23"/>
    <w:rsid w:val="00520815"/>
    <w:rsid w:val="00520BFC"/>
    <w:rsid w:val="00524564"/>
    <w:rsid w:val="0052524B"/>
    <w:rsid w:val="00525470"/>
    <w:rsid w:val="00525CD4"/>
    <w:rsid w:val="005273CF"/>
    <w:rsid w:val="0053352F"/>
    <w:rsid w:val="00534434"/>
    <w:rsid w:val="00534671"/>
    <w:rsid w:val="0053551E"/>
    <w:rsid w:val="00540B95"/>
    <w:rsid w:val="0054139C"/>
    <w:rsid w:val="005425B1"/>
    <w:rsid w:val="00542812"/>
    <w:rsid w:val="005502A4"/>
    <w:rsid w:val="0055065C"/>
    <w:rsid w:val="00550D5B"/>
    <w:rsid w:val="00551561"/>
    <w:rsid w:val="00554CC0"/>
    <w:rsid w:val="00554CEE"/>
    <w:rsid w:val="00555F7D"/>
    <w:rsid w:val="005565C5"/>
    <w:rsid w:val="005603EE"/>
    <w:rsid w:val="005617ED"/>
    <w:rsid w:val="00562094"/>
    <w:rsid w:val="0056364C"/>
    <w:rsid w:val="00563DE2"/>
    <w:rsid w:val="0056625F"/>
    <w:rsid w:val="005668BD"/>
    <w:rsid w:val="00567552"/>
    <w:rsid w:val="00567B1B"/>
    <w:rsid w:val="00571F0B"/>
    <w:rsid w:val="00573B13"/>
    <w:rsid w:val="005741CF"/>
    <w:rsid w:val="005742FD"/>
    <w:rsid w:val="00576A2D"/>
    <w:rsid w:val="00577CAE"/>
    <w:rsid w:val="00580685"/>
    <w:rsid w:val="00583070"/>
    <w:rsid w:val="00583152"/>
    <w:rsid w:val="005840A6"/>
    <w:rsid w:val="00584265"/>
    <w:rsid w:val="00585E54"/>
    <w:rsid w:val="0059019E"/>
    <w:rsid w:val="00590B07"/>
    <w:rsid w:val="00591A9E"/>
    <w:rsid w:val="0059203B"/>
    <w:rsid w:val="00592682"/>
    <w:rsid w:val="00592D17"/>
    <w:rsid w:val="00594663"/>
    <w:rsid w:val="00595741"/>
    <w:rsid w:val="005A0158"/>
    <w:rsid w:val="005A6054"/>
    <w:rsid w:val="005A62D8"/>
    <w:rsid w:val="005A762E"/>
    <w:rsid w:val="005A7B98"/>
    <w:rsid w:val="005B01DA"/>
    <w:rsid w:val="005B2F58"/>
    <w:rsid w:val="005B3AA8"/>
    <w:rsid w:val="005B4BFA"/>
    <w:rsid w:val="005B5130"/>
    <w:rsid w:val="005C2DC0"/>
    <w:rsid w:val="005C3547"/>
    <w:rsid w:val="005C3929"/>
    <w:rsid w:val="005C59B6"/>
    <w:rsid w:val="005D1EC5"/>
    <w:rsid w:val="005D4C6E"/>
    <w:rsid w:val="005D6353"/>
    <w:rsid w:val="005D726D"/>
    <w:rsid w:val="005D7676"/>
    <w:rsid w:val="005E2CD5"/>
    <w:rsid w:val="005E4FB4"/>
    <w:rsid w:val="005F0408"/>
    <w:rsid w:val="005F3F6B"/>
    <w:rsid w:val="005F44EC"/>
    <w:rsid w:val="00601A55"/>
    <w:rsid w:val="006043C6"/>
    <w:rsid w:val="00604C9C"/>
    <w:rsid w:val="00605410"/>
    <w:rsid w:val="00607195"/>
    <w:rsid w:val="00607F31"/>
    <w:rsid w:val="00612030"/>
    <w:rsid w:val="0061396C"/>
    <w:rsid w:val="00616227"/>
    <w:rsid w:val="006171A1"/>
    <w:rsid w:val="00617BBB"/>
    <w:rsid w:val="0062003E"/>
    <w:rsid w:val="006203A5"/>
    <w:rsid w:val="00621D30"/>
    <w:rsid w:val="00622147"/>
    <w:rsid w:val="00623A50"/>
    <w:rsid w:val="00623C22"/>
    <w:rsid w:val="00623D18"/>
    <w:rsid w:val="006267BE"/>
    <w:rsid w:val="0063097C"/>
    <w:rsid w:val="0063185F"/>
    <w:rsid w:val="006348A2"/>
    <w:rsid w:val="00635722"/>
    <w:rsid w:val="006366E5"/>
    <w:rsid w:val="006367AE"/>
    <w:rsid w:val="00636FEC"/>
    <w:rsid w:val="006371C1"/>
    <w:rsid w:val="00637928"/>
    <w:rsid w:val="00640F90"/>
    <w:rsid w:val="006428E8"/>
    <w:rsid w:val="006462AD"/>
    <w:rsid w:val="00646439"/>
    <w:rsid w:val="006535AA"/>
    <w:rsid w:val="00653A4E"/>
    <w:rsid w:val="00655932"/>
    <w:rsid w:val="006576DF"/>
    <w:rsid w:val="00661AC0"/>
    <w:rsid w:val="006620DE"/>
    <w:rsid w:val="006623D1"/>
    <w:rsid w:val="00665F16"/>
    <w:rsid w:val="00666690"/>
    <w:rsid w:val="00666934"/>
    <w:rsid w:val="006675C1"/>
    <w:rsid w:val="006678B0"/>
    <w:rsid w:val="006752CC"/>
    <w:rsid w:val="0067741B"/>
    <w:rsid w:val="00677AB3"/>
    <w:rsid w:val="0068133E"/>
    <w:rsid w:val="0068251B"/>
    <w:rsid w:val="00685CAE"/>
    <w:rsid w:val="00690106"/>
    <w:rsid w:val="0069089A"/>
    <w:rsid w:val="0069138F"/>
    <w:rsid w:val="00697A7D"/>
    <w:rsid w:val="006A4772"/>
    <w:rsid w:val="006A7215"/>
    <w:rsid w:val="006B4844"/>
    <w:rsid w:val="006B5C98"/>
    <w:rsid w:val="006B6E5D"/>
    <w:rsid w:val="006C34A0"/>
    <w:rsid w:val="006C35A5"/>
    <w:rsid w:val="006C3D77"/>
    <w:rsid w:val="006C3EB9"/>
    <w:rsid w:val="006C4A5A"/>
    <w:rsid w:val="006C6334"/>
    <w:rsid w:val="006D025A"/>
    <w:rsid w:val="006D0F83"/>
    <w:rsid w:val="006D1851"/>
    <w:rsid w:val="006D22D1"/>
    <w:rsid w:val="006D2694"/>
    <w:rsid w:val="006D49A8"/>
    <w:rsid w:val="006D4B07"/>
    <w:rsid w:val="006D5CD0"/>
    <w:rsid w:val="006D5DE2"/>
    <w:rsid w:val="006E2E47"/>
    <w:rsid w:val="006E3525"/>
    <w:rsid w:val="006E41F1"/>
    <w:rsid w:val="006F46B2"/>
    <w:rsid w:val="006F49DB"/>
    <w:rsid w:val="006F69E7"/>
    <w:rsid w:val="00700805"/>
    <w:rsid w:val="0070128B"/>
    <w:rsid w:val="00701521"/>
    <w:rsid w:val="0070186D"/>
    <w:rsid w:val="00705A00"/>
    <w:rsid w:val="00707284"/>
    <w:rsid w:val="00711EC7"/>
    <w:rsid w:val="0071495D"/>
    <w:rsid w:val="00715722"/>
    <w:rsid w:val="0071613F"/>
    <w:rsid w:val="00716570"/>
    <w:rsid w:val="007203B3"/>
    <w:rsid w:val="0072075F"/>
    <w:rsid w:val="00721D9D"/>
    <w:rsid w:val="00723EA1"/>
    <w:rsid w:val="0072530C"/>
    <w:rsid w:val="00726D51"/>
    <w:rsid w:val="00727976"/>
    <w:rsid w:val="00727CC2"/>
    <w:rsid w:val="007308BF"/>
    <w:rsid w:val="00734D26"/>
    <w:rsid w:val="00735ADC"/>
    <w:rsid w:val="00737C41"/>
    <w:rsid w:val="0074208F"/>
    <w:rsid w:val="00742273"/>
    <w:rsid w:val="007427C3"/>
    <w:rsid w:val="00742CD7"/>
    <w:rsid w:val="0074382F"/>
    <w:rsid w:val="007446D8"/>
    <w:rsid w:val="007451C4"/>
    <w:rsid w:val="007500BC"/>
    <w:rsid w:val="0075270E"/>
    <w:rsid w:val="00754FB2"/>
    <w:rsid w:val="00756C6E"/>
    <w:rsid w:val="00760892"/>
    <w:rsid w:val="00760928"/>
    <w:rsid w:val="007654ED"/>
    <w:rsid w:val="00765A8B"/>
    <w:rsid w:val="00766162"/>
    <w:rsid w:val="00767804"/>
    <w:rsid w:val="00771AFE"/>
    <w:rsid w:val="00771E22"/>
    <w:rsid w:val="00772945"/>
    <w:rsid w:val="00773269"/>
    <w:rsid w:val="00773623"/>
    <w:rsid w:val="00774357"/>
    <w:rsid w:val="00774E94"/>
    <w:rsid w:val="00775670"/>
    <w:rsid w:val="00781005"/>
    <w:rsid w:val="00783AD3"/>
    <w:rsid w:val="00784035"/>
    <w:rsid w:val="007842A8"/>
    <w:rsid w:val="007843FA"/>
    <w:rsid w:val="007872FE"/>
    <w:rsid w:val="007A0C0D"/>
    <w:rsid w:val="007A289F"/>
    <w:rsid w:val="007A2A67"/>
    <w:rsid w:val="007A3262"/>
    <w:rsid w:val="007A3A52"/>
    <w:rsid w:val="007A59A1"/>
    <w:rsid w:val="007A6B4B"/>
    <w:rsid w:val="007B0721"/>
    <w:rsid w:val="007B0B39"/>
    <w:rsid w:val="007B0EC2"/>
    <w:rsid w:val="007B2784"/>
    <w:rsid w:val="007B2B60"/>
    <w:rsid w:val="007B625E"/>
    <w:rsid w:val="007B69AC"/>
    <w:rsid w:val="007C5542"/>
    <w:rsid w:val="007C6202"/>
    <w:rsid w:val="007C7785"/>
    <w:rsid w:val="007D1D4F"/>
    <w:rsid w:val="007D40E2"/>
    <w:rsid w:val="007D40F8"/>
    <w:rsid w:val="007D4AA9"/>
    <w:rsid w:val="007D6DFF"/>
    <w:rsid w:val="007E006B"/>
    <w:rsid w:val="007E04EE"/>
    <w:rsid w:val="007E4517"/>
    <w:rsid w:val="007E7D1C"/>
    <w:rsid w:val="007F0DE2"/>
    <w:rsid w:val="007F36DB"/>
    <w:rsid w:val="007F4463"/>
    <w:rsid w:val="007F586D"/>
    <w:rsid w:val="007F6508"/>
    <w:rsid w:val="007F68F7"/>
    <w:rsid w:val="00800221"/>
    <w:rsid w:val="00800767"/>
    <w:rsid w:val="008017D8"/>
    <w:rsid w:val="008021AA"/>
    <w:rsid w:val="008058EA"/>
    <w:rsid w:val="0080672F"/>
    <w:rsid w:val="008076B5"/>
    <w:rsid w:val="00810045"/>
    <w:rsid w:val="00810933"/>
    <w:rsid w:val="00811B57"/>
    <w:rsid w:val="00814C99"/>
    <w:rsid w:val="00816D7D"/>
    <w:rsid w:val="00820856"/>
    <w:rsid w:val="00822EAA"/>
    <w:rsid w:val="008240D4"/>
    <w:rsid w:val="008242C3"/>
    <w:rsid w:val="00832686"/>
    <w:rsid w:val="008333DE"/>
    <w:rsid w:val="00834120"/>
    <w:rsid w:val="00834A9A"/>
    <w:rsid w:val="00835333"/>
    <w:rsid w:val="00836738"/>
    <w:rsid w:val="00836E7F"/>
    <w:rsid w:val="00837783"/>
    <w:rsid w:val="00841832"/>
    <w:rsid w:val="00841906"/>
    <w:rsid w:val="008522B5"/>
    <w:rsid w:val="00852A96"/>
    <w:rsid w:val="00852CF5"/>
    <w:rsid w:val="00852E38"/>
    <w:rsid w:val="00854BE6"/>
    <w:rsid w:val="00856153"/>
    <w:rsid w:val="00856A6B"/>
    <w:rsid w:val="0085713E"/>
    <w:rsid w:val="00861947"/>
    <w:rsid w:val="00861A4C"/>
    <w:rsid w:val="00862ED8"/>
    <w:rsid w:val="00864597"/>
    <w:rsid w:val="008649BE"/>
    <w:rsid w:val="00866505"/>
    <w:rsid w:val="00866F18"/>
    <w:rsid w:val="00870FBA"/>
    <w:rsid w:val="0087352B"/>
    <w:rsid w:val="00874968"/>
    <w:rsid w:val="0088021E"/>
    <w:rsid w:val="00880579"/>
    <w:rsid w:val="00882721"/>
    <w:rsid w:val="0088345C"/>
    <w:rsid w:val="00884166"/>
    <w:rsid w:val="00884A3F"/>
    <w:rsid w:val="008875EA"/>
    <w:rsid w:val="008923AC"/>
    <w:rsid w:val="00894EEA"/>
    <w:rsid w:val="008952DA"/>
    <w:rsid w:val="00895BD0"/>
    <w:rsid w:val="00896C52"/>
    <w:rsid w:val="00897B5D"/>
    <w:rsid w:val="008A2B07"/>
    <w:rsid w:val="008A3994"/>
    <w:rsid w:val="008A456E"/>
    <w:rsid w:val="008A5BB9"/>
    <w:rsid w:val="008A6C90"/>
    <w:rsid w:val="008B53FB"/>
    <w:rsid w:val="008B6D9E"/>
    <w:rsid w:val="008C15D9"/>
    <w:rsid w:val="008C1F16"/>
    <w:rsid w:val="008C33C3"/>
    <w:rsid w:val="008C4388"/>
    <w:rsid w:val="008C45B7"/>
    <w:rsid w:val="008C5274"/>
    <w:rsid w:val="008C5562"/>
    <w:rsid w:val="008C769E"/>
    <w:rsid w:val="008C7C01"/>
    <w:rsid w:val="008D0615"/>
    <w:rsid w:val="008D1293"/>
    <w:rsid w:val="008D516A"/>
    <w:rsid w:val="008D6FAA"/>
    <w:rsid w:val="008D7B82"/>
    <w:rsid w:val="008E0718"/>
    <w:rsid w:val="008E3345"/>
    <w:rsid w:val="008E37B9"/>
    <w:rsid w:val="008E38AB"/>
    <w:rsid w:val="008E4E81"/>
    <w:rsid w:val="008E73CC"/>
    <w:rsid w:val="008F1EB0"/>
    <w:rsid w:val="008F536F"/>
    <w:rsid w:val="008F5BC5"/>
    <w:rsid w:val="008F5E1F"/>
    <w:rsid w:val="008F75B2"/>
    <w:rsid w:val="008F7CEB"/>
    <w:rsid w:val="00900400"/>
    <w:rsid w:val="00900C04"/>
    <w:rsid w:val="00903280"/>
    <w:rsid w:val="0090370D"/>
    <w:rsid w:val="0090478E"/>
    <w:rsid w:val="00904835"/>
    <w:rsid w:val="009049EC"/>
    <w:rsid w:val="00912872"/>
    <w:rsid w:val="009130E2"/>
    <w:rsid w:val="009155D3"/>
    <w:rsid w:val="009159C0"/>
    <w:rsid w:val="00917596"/>
    <w:rsid w:val="00917927"/>
    <w:rsid w:val="00922320"/>
    <w:rsid w:val="009233F6"/>
    <w:rsid w:val="009257EC"/>
    <w:rsid w:val="00927AC6"/>
    <w:rsid w:val="00927F73"/>
    <w:rsid w:val="00930E0B"/>
    <w:rsid w:val="009316BD"/>
    <w:rsid w:val="009326E7"/>
    <w:rsid w:val="0093485B"/>
    <w:rsid w:val="009351FD"/>
    <w:rsid w:val="009357FF"/>
    <w:rsid w:val="00936664"/>
    <w:rsid w:val="00936E31"/>
    <w:rsid w:val="00937701"/>
    <w:rsid w:val="00940B90"/>
    <w:rsid w:val="00942EBC"/>
    <w:rsid w:val="009458AC"/>
    <w:rsid w:val="0094596E"/>
    <w:rsid w:val="00950BEB"/>
    <w:rsid w:val="00952CBB"/>
    <w:rsid w:val="00952DF8"/>
    <w:rsid w:val="0095310C"/>
    <w:rsid w:val="0095416B"/>
    <w:rsid w:val="00956AE0"/>
    <w:rsid w:val="00960FCB"/>
    <w:rsid w:val="009617E9"/>
    <w:rsid w:val="00962DFF"/>
    <w:rsid w:val="00963C2D"/>
    <w:rsid w:val="00965D43"/>
    <w:rsid w:val="0096625A"/>
    <w:rsid w:val="00966A75"/>
    <w:rsid w:val="00966C03"/>
    <w:rsid w:val="00971C58"/>
    <w:rsid w:val="00971FAB"/>
    <w:rsid w:val="0097290D"/>
    <w:rsid w:val="00973DB9"/>
    <w:rsid w:val="0098048E"/>
    <w:rsid w:val="00981643"/>
    <w:rsid w:val="00983958"/>
    <w:rsid w:val="009862F7"/>
    <w:rsid w:val="009874C6"/>
    <w:rsid w:val="00987C6A"/>
    <w:rsid w:val="00991D63"/>
    <w:rsid w:val="00993BDA"/>
    <w:rsid w:val="009940FC"/>
    <w:rsid w:val="009950DD"/>
    <w:rsid w:val="009A0820"/>
    <w:rsid w:val="009A13FE"/>
    <w:rsid w:val="009A1912"/>
    <w:rsid w:val="009A72C6"/>
    <w:rsid w:val="009B06D1"/>
    <w:rsid w:val="009B0ECF"/>
    <w:rsid w:val="009B19C5"/>
    <w:rsid w:val="009B285C"/>
    <w:rsid w:val="009B29AE"/>
    <w:rsid w:val="009B5430"/>
    <w:rsid w:val="009B645A"/>
    <w:rsid w:val="009C3407"/>
    <w:rsid w:val="009C5523"/>
    <w:rsid w:val="009D19F9"/>
    <w:rsid w:val="009D2893"/>
    <w:rsid w:val="009D35EC"/>
    <w:rsid w:val="009D435A"/>
    <w:rsid w:val="009D457D"/>
    <w:rsid w:val="009D5FA7"/>
    <w:rsid w:val="009D6B19"/>
    <w:rsid w:val="009D78B7"/>
    <w:rsid w:val="009E1AD2"/>
    <w:rsid w:val="009E338E"/>
    <w:rsid w:val="009E40B1"/>
    <w:rsid w:val="009E4AE9"/>
    <w:rsid w:val="009E4C87"/>
    <w:rsid w:val="009E5BC8"/>
    <w:rsid w:val="009E6D80"/>
    <w:rsid w:val="009F2619"/>
    <w:rsid w:val="009F3335"/>
    <w:rsid w:val="009F4395"/>
    <w:rsid w:val="009F478B"/>
    <w:rsid w:val="00A01804"/>
    <w:rsid w:val="00A02C53"/>
    <w:rsid w:val="00A04664"/>
    <w:rsid w:val="00A0484B"/>
    <w:rsid w:val="00A04EE3"/>
    <w:rsid w:val="00A07C2A"/>
    <w:rsid w:val="00A20C8D"/>
    <w:rsid w:val="00A234A5"/>
    <w:rsid w:val="00A23D42"/>
    <w:rsid w:val="00A23EE3"/>
    <w:rsid w:val="00A2458F"/>
    <w:rsid w:val="00A25DC1"/>
    <w:rsid w:val="00A27D30"/>
    <w:rsid w:val="00A30834"/>
    <w:rsid w:val="00A31113"/>
    <w:rsid w:val="00A32E8E"/>
    <w:rsid w:val="00A32E9C"/>
    <w:rsid w:val="00A33214"/>
    <w:rsid w:val="00A37E39"/>
    <w:rsid w:val="00A40C55"/>
    <w:rsid w:val="00A422DC"/>
    <w:rsid w:val="00A43731"/>
    <w:rsid w:val="00A4638E"/>
    <w:rsid w:val="00A500E9"/>
    <w:rsid w:val="00A50A99"/>
    <w:rsid w:val="00A50E11"/>
    <w:rsid w:val="00A52BE4"/>
    <w:rsid w:val="00A5313D"/>
    <w:rsid w:val="00A5647E"/>
    <w:rsid w:val="00A56EEB"/>
    <w:rsid w:val="00A6001B"/>
    <w:rsid w:val="00A60258"/>
    <w:rsid w:val="00A61E23"/>
    <w:rsid w:val="00A6360F"/>
    <w:rsid w:val="00A63A3A"/>
    <w:rsid w:val="00A6502C"/>
    <w:rsid w:val="00A726A0"/>
    <w:rsid w:val="00A72F1E"/>
    <w:rsid w:val="00A74522"/>
    <w:rsid w:val="00A76594"/>
    <w:rsid w:val="00A76E9B"/>
    <w:rsid w:val="00A7758F"/>
    <w:rsid w:val="00A8143D"/>
    <w:rsid w:val="00A81F8C"/>
    <w:rsid w:val="00A825A3"/>
    <w:rsid w:val="00A9056C"/>
    <w:rsid w:val="00A91754"/>
    <w:rsid w:val="00A937D9"/>
    <w:rsid w:val="00A947B7"/>
    <w:rsid w:val="00A94ECC"/>
    <w:rsid w:val="00A95633"/>
    <w:rsid w:val="00A968F5"/>
    <w:rsid w:val="00A96FCB"/>
    <w:rsid w:val="00AA319A"/>
    <w:rsid w:val="00AA4CB6"/>
    <w:rsid w:val="00AA549C"/>
    <w:rsid w:val="00AA6271"/>
    <w:rsid w:val="00AA6D87"/>
    <w:rsid w:val="00AB1FEF"/>
    <w:rsid w:val="00AB3140"/>
    <w:rsid w:val="00AB3CF4"/>
    <w:rsid w:val="00AB4251"/>
    <w:rsid w:val="00AB64F6"/>
    <w:rsid w:val="00AB7054"/>
    <w:rsid w:val="00AC1477"/>
    <w:rsid w:val="00AC6AFD"/>
    <w:rsid w:val="00AD299B"/>
    <w:rsid w:val="00AE1810"/>
    <w:rsid w:val="00AE2F26"/>
    <w:rsid w:val="00AE65C3"/>
    <w:rsid w:val="00AF13BF"/>
    <w:rsid w:val="00AF2FE9"/>
    <w:rsid w:val="00AF7A0D"/>
    <w:rsid w:val="00AF7F7A"/>
    <w:rsid w:val="00B0110B"/>
    <w:rsid w:val="00B03ED1"/>
    <w:rsid w:val="00B05733"/>
    <w:rsid w:val="00B10A68"/>
    <w:rsid w:val="00B13589"/>
    <w:rsid w:val="00B14FC5"/>
    <w:rsid w:val="00B15B8D"/>
    <w:rsid w:val="00B15F0C"/>
    <w:rsid w:val="00B17840"/>
    <w:rsid w:val="00B17FB8"/>
    <w:rsid w:val="00B213AF"/>
    <w:rsid w:val="00B23435"/>
    <w:rsid w:val="00B244E4"/>
    <w:rsid w:val="00B24F6C"/>
    <w:rsid w:val="00B3037F"/>
    <w:rsid w:val="00B30C7B"/>
    <w:rsid w:val="00B31D66"/>
    <w:rsid w:val="00B33DEE"/>
    <w:rsid w:val="00B35552"/>
    <w:rsid w:val="00B35B48"/>
    <w:rsid w:val="00B419C6"/>
    <w:rsid w:val="00B41C8F"/>
    <w:rsid w:val="00B44E06"/>
    <w:rsid w:val="00B45614"/>
    <w:rsid w:val="00B4776A"/>
    <w:rsid w:val="00B50344"/>
    <w:rsid w:val="00B50449"/>
    <w:rsid w:val="00B50944"/>
    <w:rsid w:val="00B51FF3"/>
    <w:rsid w:val="00B54A79"/>
    <w:rsid w:val="00B56351"/>
    <w:rsid w:val="00B56375"/>
    <w:rsid w:val="00B56539"/>
    <w:rsid w:val="00B57DAB"/>
    <w:rsid w:val="00B607C3"/>
    <w:rsid w:val="00B60E14"/>
    <w:rsid w:val="00B61364"/>
    <w:rsid w:val="00B631E9"/>
    <w:rsid w:val="00B6436F"/>
    <w:rsid w:val="00B64468"/>
    <w:rsid w:val="00B65BD9"/>
    <w:rsid w:val="00B666EB"/>
    <w:rsid w:val="00B70D5E"/>
    <w:rsid w:val="00B71C29"/>
    <w:rsid w:val="00B7438F"/>
    <w:rsid w:val="00B7504B"/>
    <w:rsid w:val="00B753F7"/>
    <w:rsid w:val="00B756ED"/>
    <w:rsid w:val="00B77049"/>
    <w:rsid w:val="00B800CC"/>
    <w:rsid w:val="00B80781"/>
    <w:rsid w:val="00B815DB"/>
    <w:rsid w:val="00B81DE7"/>
    <w:rsid w:val="00B831C8"/>
    <w:rsid w:val="00B859B4"/>
    <w:rsid w:val="00B85B18"/>
    <w:rsid w:val="00B871A0"/>
    <w:rsid w:val="00B904FF"/>
    <w:rsid w:val="00B92AD8"/>
    <w:rsid w:val="00B9308D"/>
    <w:rsid w:val="00B959DC"/>
    <w:rsid w:val="00B9770F"/>
    <w:rsid w:val="00BA3DDA"/>
    <w:rsid w:val="00BA642F"/>
    <w:rsid w:val="00BA7D4F"/>
    <w:rsid w:val="00BB1E4D"/>
    <w:rsid w:val="00BB3C3A"/>
    <w:rsid w:val="00BB501E"/>
    <w:rsid w:val="00BB5365"/>
    <w:rsid w:val="00BC00E4"/>
    <w:rsid w:val="00BC0BFB"/>
    <w:rsid w:val="00BC1860"/>
    <w:rsid w:val="00BC4E0B"/>
    <w:rsid w:val="00BC54AA"/>
    <w:rsid w:val="00BD0B5B"/>
    <w:rsid w:val="00BD2DED"/>
    <w:rsid w:val="00BD3750"/>
    <w:rsid w:val="00BD4D25"/>
    <w:rsid w:val="00BD5D24"/>
    <w:rsid w:val="00BD6DEA"/>
    <w:rsid w:val="00BE28ED"/>
    <w:rsid w:val="00BE3121"/>
    <w:rsid w:val="00BE34D8"/>
    <w:rsid w:val="00BE3EA9"/>
    <w:rsid w:val="00BF0215"/>
    <w:rsid w:val="00BF2C33"/>
    <w:rsid w:val="00BF2DC1"/>
    <w:rsid w:val="00BF46D0"/>
    <w:rsid w:val="00BF549B"/>
    <w:rsid w:val="00C00223"/>
    <w:rsid w:val="00C02671"/>
    <w:rsid w:val="00C05A12"/>
    <w:rsid w:val="00C0644E"/>
    <w:rsid w:val="00C06624"/>
    <w:rsid w:val="00C0736D"/>
    <w:rsid w:val="00C07380"/>
    <w:rsid w:val="00C1065D"/>
    <w:rsid w:val="00C10B53"/>
    <w:rsid w:val="00C12D92"/>
    <w:rsid w:val="00C141D0"/>
    <w:rsid w:val="00C157D1"/>
    <w:rsid w:val="00C22BC7"/>
    <w:rsid w:val="00C2311C"/>
    <w:rsid w:val="00C23930"/>
    <w:rsid w:val="00C3102C"/>
    <w:rsid w:val="00C321FD"/>
    <w:rsid w:val="00C33648"/>
    <w:rsid w:val="00C33CFE"/>
    <w:rsid w:val="00C37E7B"/>
    <w:rsid w:val="00C40CC2"/>
    <w:rsid w:val="00C43B6B"/>
    <w:rsid w:val="00C472D0"/>
    <w:rsid w:val="00C4773F"/>
    <w:rsid w:val="00C50967"/>
    <w:rsid w:val="00C50AA8"/>
    <w:rsid w:val="00C57C11"/>
    <w:rsid w:val="00C603E8"/>
    <w:rsid w:val="00C60804"/>
    <w:rsid w:val="00C639BA"/>
    <w:rsid w:val="00C64D22"/>
    <w:rsid w:val="00C65EF7"/>
    <w:rsid w:val="00C7200A"/>
    <w:rsid w:val="00C73B2F"/>
    <w:rsid w:val="00C740E7"/>
    <w:rsid w:val="00C756E5"/>
    <w:rsid w:val="00C80741"/>
    <w:rsid w:val="00C83E9D"/>
    <w:rsid w:val="00C86451"/>
    <w:rsid w:val="00C8664A"/>
    <w:rsid w:val="00C86E9B"/>
    <w:rsid w:val="00C87BBE"/>
    <w:rsid w:val="00C9064A"/>
    <w:rsid w:val="00C9084E"/>
    <w:rsid w:val="00C91818"/>
    <w:rsid w:val="00C92959"/>
    <w:rsid w:val="00C95AAA"/>
    <w:rsid w:val="00C95FF4"/>
    <w:rsid w:val="00C97137"/>
    <w:rsid w:val="00CA179B"/>
    <w:rsid w:val="00CA2888"/>
    <w:rsid w:val="00CA2BBE"/>
    <w:rsid w:val="00CA36F8"/>
    <w:rsid w:val="00CA3981"/>
    <w:rsid w:val="00CA5EE8"/>
    <w:rsid w:val="00CA61B6"/>
    <w:rsid w:val="00CB036F"/>
    <w:rsid w:val="00CB2E68"/>
    <w:rsid w:val="00CB332E"/>
    <w:rsid w:val="00CB3E66"/>
    <w:rsid w:val="00CB5304"/>
    <w:rsid w:val="00CB7217"/>
    <w:rsid w:val="00CC10A5"/>
    <w:rsid w:val="00CC2A7E"/>
    <w:rsid w:val="00CC2A97"/>
    <w:rsid w:val="00CC3CDE"/>
    <w:rsid w:val="00CC4B9B"/>
    <w:rsid w:val="00CC50B6"/>
    <w:rsid w:val="00CC5D56"/>
    <w:rsid w:val="00CC5DCE"/>
    <w:rsid w:val="00CC6956"/>
    <w:rsid w:val="00CD3786"/>
    <w:rsid w:val="00CD4AB6"/>
    <w:rsid w:val="00CD5B05"/>
    <w:rsid w:val="00CD7587"/>
    <w:rsid w:val="00CE724A"/>
    <w:rsid w:val="00CE76A9"/>
    <w:rsid w:val="00CF21CC"/>
    <w:rsid w:val="00CF4DFF"/>
    <w:rsid w:val="00D024CC"/>
    <w:rsid w:val="00D050E9"/>
    <w:rsid w:val="00D13A32"/>
    <w:rsid w:val="00D14E75"/>
    <w:rsid w:val="00D1502D"/>
    <w:rsid w:val="00D15268"/>
    <w:rsid w:val="00D1628C"/>
    <w:rsid w:val="00D172EC"/>
    <w:rsid w:val="00D1773D"/>
    <w:rsid w:val="00D24FD2"/>
    <w:rsid w:val="00D263B6"/>
    <w:rsid w:val="00D275FA"/>
    <w:rsid w:val="00D31A6D"/>
    <w:rsid w:val="00D31D39"/>
    <w:rsid w:val="00D33573"/>
    <w:rsid w:val="00D36923"/>
    <w:rsid w:val="00D372FB"/>
    <w:rsid w:val="00D4093B"/>
    <w:rsid w:val="00D41882"/>
    <w:rsid w:val="00D435E8"/>
    <w:rsid w:val="00D43657"/>
    <w:rsid w:val="00D438C0"/>
    <w:rsid w:val="00D444D4"/>
    <w:rsid w:val="00D45585"/>
    <w:rsid w:val="00D5317E"/>
    <w:rsid w:val="00D60474"/>
    <w:rsid w:val="00D61828"/>
    <w:rsid w:val="00D61DAB"/>
    <w:rsid w:val="00D62296"/>
    <w:rsid w:val="00D62805"/>
    <w:rsid w:val="00D65557"/>
    <w:rsid w:val="00D67A05"/>
    <w:rsid w:val="00D720E0"/>
    <w:rsid w:val="00D735FF"/>
    <w:rsid w:val="00D73D9E"/>
    <w:rsid w:val="00D751BE"/>
    <w:rsid w:val="00D7779D"/>
    <w:rsid w:val="00D8388F"/>
    <w:rsid w:val="00D86F4C"/>
    <w:rsid w:val="00D90998"/>
    <w:rsid w:val="00D92CBC"/>
    <w:rsid w:val="00D933D9"/>
    <w:rsid w:val="00D938F3"/>
    <w:rsid w:val="00D950F6"/>
    <w:rsid w:val="00D9772B"/>
    <w:rsid w:val="00D97ED1"/>
    <w:rsid w:val="00DA3556"/>
    <w:rsid w:val="00DA3B90"/>
    <w:rsid w:val="00DA3D5B"/>
    <w:rsid w:val="00DA41E3"/>
    <w:rsid w:val="00DA4440"/>
    <w:rsid w:val="00DA4E03"/>
    <w:rsid w:val="00DA5AE1"/>
    <w:rsid w:val="00DA5E82"/>
    <w:rsid w:val="00DA7A7A"/>
    <w:rsid w:val="00DB0793"/>
    <w:rsid w:val="00DB4483"/>
    <w:rsid w:val="00DB5AA0"/>
    <w:rsid w:val="00DB641D"/>
    <w:rsid w:val="00DB72F9"/>
    <w:rsid w:val="00DC1881"/>
    <w:rsid w:val="00DC2FB7"/>
    <w:rsid w:val="00DC3E43"/>
    <w:rsid w:val="00DC61D1"/>
    <w:rsid w:val="00DC705C"/>
    <w:rsid w:val="00DD0655"/>
    <w:rsid w:val="00DD3793"/>
    <w:rsid w:val="00DD3C8D"/>
    <w:rsid w:val="00DD4979"/>
    <w:rsid w:val="00DD4C0E"/>
    <w:rsid w:val="00DD4C28"/>
    <w:rsid w:val="00DD507C"/>
    <w:rsid w:val="00DD70B3"/>
    <w:rsid w:val="00DE19FA"/>
    <w:rsid w:val="00DE254C"/>
    <w:rsid w:val="00DE341C"/>
    <w:rsid w:val="00DE37E1"/>
    <w:rsid w:val="00DE4889"/>
    <w:rsid w:val="00DE6244"/>
    <w:rsid w:val="00DE6BAB"/>
    <w:rsid w:val="00DF192F"/>
    <w:rsid w:val="00DF39F7"/>
    <w:rsid w:val="00DF3B86"/>
    <w:rsid w:val="00DF5565"/>
    <w:rsid w:val="00DF64A6"/>
    <w:rsid w:val="00E00054"/>
    <w:rsid w:val="00E12744"/>
    <w:rsid w:val="00E131C0"/>
    <w:rsid w:val="00E2135B"/>
    <w:rsid w:val="00E23C33"/>
    <w:rsid w:val="00E241A9"/>
    <w:rsid w:val="00E24EAA"/>
    <w:rsid w:val="00E31E19"/>
    <w:rsid w:val="00E32CA6"/>
    <w:rsid w:val="00E344E8"/>
    <w:rsid w:val="00E35436"/>
    <w:rsid w:val="00E3578F"/>
    <w:rsid w:val="00E40405"/>
    <w:rsid w:val="00E42FA1"/>
    <w:rsid w:val="00E43342"/>
    <w:rsid w:val="00E4497E"/>
    <w:rsid w:val="00E44B10"/>
    <w:rsid w:val="00E46D76"/>
    <w:rsid w:val="00E474FC"/>
    <w:rsid w:val="00E47B0F"/>
    <w:rsid w:val="00E47F62"/>
    <w:rsid w:val="00E51045"/>
    <w:rsid w:val="00E5136A"/>
    <w:rsid w:val="00E52A27"/>
    <w:rsid w:val="00E56B36"/>
    <w:rsid w:val="00E57AC8"/>
    <w:rsid w:val="00E60281"/>
    <w:rsid w:val="00E61085"/>
    <w:rsid w:val="00E61363"/>
    <w:rsid w:val="00E6768D"/>
    <w:rsid w:val="00E67FEF"/>
    <w:rsid w:val="00E71976"/>
    <w:rsid w:val="00E75A5C"/>
    <w:rsid w:val="00E77092"/>
    <w:rsid w:val="00E773FC"/>
    <w:rsid w:val="00E774FB"/>
    <w:rsid w:val="00E80426"/>
    <w:rsid w:val="00E82E1D"/>
    <w:rsid w:val="00E82E52"/>
    <w:rsid w:val="00E8425C"/>
    <w:rsid w:val="00E84325"/>
    <w:rsid w:val="00E84446"/>
    <w:rsid w:val="00E86089"/>
    <w:rsid w:val="00E86C70"/>
    <w:rsid w:val="00E91E9B"/>
    <w:rsid w:val="00E9321A"/>
    <w:rsid w:val="00E9357E"/>
    <w:rsid w:val="00E947C3"/>
    <w:rsid w:val="00E94F51"/>
    <w:rsid w:val="00E9639F"/>
    <w:rsid w:val="00E97BDF"/>
    <w:rsid w:val="00EA1C14"/>
    <w:rsid w:val="00EA31FB"/>
    <w:rsid w:val="00EA45EB"/>
    <w:rsid w:val="00EA46AD"/>
    <w:rsid w:val="00EA474A"/>
    <w:rsid w:val="00EA58C9"/>
    <w:rsid w:val="00EA612B"/>
    <w:rsid w:val="00EA7F52"/>
    <w:rsid w:val="00EB089B"/>
    <w:rsid w:val="00EB26E1"/>
    <w:rsid w:val="00EB386C"/>
    <w:rsid w:val="00EB6676"/>
    <w:rsid w:val="00EC1DEF"/>
    <w:rsid w:val="00ED07E9"/>
    <w:rsid w:val="00ED3E9D"/>
    <w:rsid w:val="00ED5B45"/>
    <w:rsid w:val="00ED5E92"/>
    <w:rsid w:val="00ED64D5"/>
    <w:rsid w:val="00ED65E3"/>
    <w:rsid w:val="00ED6BD3"/>
    <w:rsid w:val="00ED6C63"/>
    <w:rsid w:val="00ED78FD"/>
    <w:rsid w:val="00EE0179"/>
    <w:rsid w:val="00EE094A"/>
    <w:rsid w:val="00EE0B32"/>
    <w:rsid w:val="00EE314F"/>
    <w:rsid w:val="00EE35C4"/>
    <w:rsid w:val="00EE3EC9"/>
    <w:rsid w:val="00EE4A27"/>
    <w:rsid w:val="00EE5818"/>
    <w:rsid w:val="00EE5AD4"/>
    <w:rsid w:val="00EF0878"/>
    <w:rsid w:val="00EF2186"/>
    <w:rsid w:val="00EF2A14"/>
    <w:rsid w:val="00EF3BD8"/>
    <w:rsid w:val="00EF4FE7"/>
    <w:rsid w:val="00EF69CF"/>
    <w:rsid w:val="00EF6FDF"/>
    <w:rsid w:val="00F014D9"/>
    <w:rsid w:val="00F020E2"/>
    <w:rsid w:val="00F02C5A"/>
    <w:rsid w:val="00F0308F"/>
    <w:rsid w:val="00F0667E"/>
    <w:rsid w:val="00F067BE"/>
    <w:rsid w:val="00F06C79"/>
    <w:rsid w:val="00F102F9"/>
    <w:rsid w:val="00F12441"/>
    <w:rsid w:val="00F12F9F"/>
    <w:rsid w:val="00F14433"/>
    <w:rsid w:val="00F144BD"/>
    <w:rsid w:val="00F151D9"/>
    <w:rsid w:val="00F15E05"/>
    <w:rsid w:val="00F1676F"/>
    <w:rsid w:val="00F17A59"/>
    <w:rsid w:val="00F21653"/>
    <w:rsid w:val="00F21E05"/>
    <w:rsid w:val="00F229D1"/>
    <w:rsid w:val="00F22CAD"/>
    <w:rsid w:val="00F25DC2"/>
    <w:rsid w:val="00F26924"/>
    <w:rsid w:val="00F27C41"/>
    <w:rsid w:val="00F311D1"/>
    <w:rsid w:val="00F32EF1"/>
    <w:rsid w:val="00F35DDD"/>
    <w:rsid w:val="00F37A60"/>
    <w:rsid w:val="00F408BA"/>
    <w:rsid w:val="00F409D3"/>
    <w:rsid w:val="00F4564E"/>
    <w:rsid w:val="00F46E90"/>
    <w:rsid w:val="00F46FC2"/>
    <w:rsid w:val="00F513F9"/>
    <w:rsid w:val="00F51432"/>
    <w:rsid w:val="00F51B9A"/>
    <w:rsid w:val="00F51F3B"/>
    <w:rsid w:val="00F55199"/>
    <w:rsid w:val="00F620DC"/>
    <w:rsid w:val="00F71BE1"/>
    <w:rsid w:val="00F73F29"/>
    <w:rsid w:val="00F7546B"/>
    <w:rsid w:val="00F820D8"/>
    <w:rsid w:val="00F83532"/>
    <w:rsid w:val="00F84CD8"/>
    <w:rsid w:val="00F852C0"/>
    <w:rsid w:val="00F86D5C"/>
    <w:rsid w:val="00F9093E"/>
    <w:rsid w:val="00F91320"/>
    <w:rsid w:val="00F9186B"/>
    <w:rsid w:val="00F94226"/>
    <w:rsid w:val="00F95CAA"/>
    <w:rsid w:val="00F95FD4"/>
    <w:rsid w:val="00F9653B"/>
    <w:rsid w:val="00F96B76"/>
    <w:rsid w:val="00F96F9E"/>
    <w:rsid w:val="00F97904"/>
    <w:rsid w:val="00FA160D"/>
    <w:rsid w:val="00FA738A"/>
    <w:rsid w:val="00FB0049"/>
    <w:rsid w:val="00FB2161"/>
    <w:rsid w:val="00FB2427"/>
    <w:rsid w:val="00FB4363"/>
    <w:rsid w:val="00FB4937"/>
    <w:rsid w:val="00FB5245"/>
    <w:rsid w:val="00FC1FB5"/>
    <w:rsid w:val="00FC2177"/>
    <w:rsid w:val="00FC2C99"/>
    <w:rsid w:val="00FC3BE0"/>
    <w:rsid w:val="00FC6BB6"/>
    <w:rsid w:val="00FD05BC"/>
    <w:rsid w:val="00FD4849"/>
    <w:rsid w:val="00FD5AFC"/>
    <w:rsid w:val="00FE02B6"/>
    <w:rsid w:val="00FE241E"/>
    <w:rsid w:val="00FE311C"/>
    <w:rsid w:val="00FE3393"/>
    <w:rsid w:val="00FE55C6"/>
    <w:rsid w:val="00FF34BE"/>
    <w:rsid w:val="00FF3E3C"/>
    <w:rsid w:val="00FF3E7D"/>
    <w:rsid w:val="00FF5821"/>
    <w:rsid w:val="00FF5F6D"/>
    <w:rsid w:val="00FF69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5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0051E"/>
    <w:rPr>
      <w:b/>
      <w:bCs/>
    </w:rPr>
  </w:style>
  <w:style w:type="character" w:styleId="Hyperlink">
    <w:name w:val="Hyperlink"/>
    <w:basedOn w:val="DefaultParagraphFont"/>
    <w:uiPriority w:val="99"/>
    <w:semiHidden/>
    <w:unhideWhenUsed/>
    <w:rsid w:val="0030051E"/>
    <w:rPr>
      <w:color w:val="0000FF"/>
      <w:u w:val="single"/>
    </w:rPr>
  </w:style>
  <w:style w:type="paragraph" w:styleId="ListParagraph">
    <w:name w:val="List Paragraph"/>
    <w:basedOn w:val="Normal"/>
    <w:uiPriority w:val="34"/>
    <w:qFormat/>
    <w:rsid w:val="0030051E"/>
    <w:pPr>
      <w:ind w:left="720"/>
      <w:contextualSpacing/>
    </w:pPr>
  </w:style>
</w:styles>
</file>

<file path=word/webSettings.xml><?xml version="1.0" encoding="utf-8"?>
<w:webSettings xmlns:r="http://schemas.openxmlformats.org/officeDocument/2006/relationships" xmlns:w="http://schemas.openxmlformats.org/wordprocessingml/2006/main">
  <w:divs>
    <w:div w:id="694235010">
      <w:bodyDiv w:val="1"/>
      <w:marLeft w:val="0"/>
      <w:marRight w:val="0"/>
      <w:marTop w:val="0"/>
      <w:marBottom w:val="0"/>
      <w:divBdr>
        <w:top w:val="none" w:sz="0" w:space="0" w:color="auto"/>
        <w:left w:val="none" w:sz="0" w:space="0" w:color="auto"/>
        <w:bottom w:val="none" w:sz="0" w:space="0" w:color="auto"/>
        <w:right w:val="none" w:sz="0" w:space="0" w:color="auto"/>
      </w:divBdr>
    </w:div>
    <w:div w:id="1525438582">
      <w:bodyDiv w:val="1"/>
      <w:marLeft w:val="0"/>
      <w:marRight w:val="0"/>
      <w:marTop w:val="0"/>
      <w:marBottom w:val="0"/>
      <w:divBdr>
        <w:top w:val="none" w:sz="0" w:space="0" w:color="auto"/>
        <w:left w:val="none" w:sz="0" w:space="0" w:color="auto"/>
        <w:bottom w:val="none" w:sz="0" w:space="0" w:color="auto"/>
        <w:right w:val="none" w:sz="0" w:space="0" w:color="auto"/>
      </w:divBdr>
    </w:div>
    <w:div w:id="209697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East_India_Compa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ndex.php?title=First_War_of_Independence_of_1857&amp;action=edit&amp;redlink=1" TargetMode="External"/><Relationship Id="rId5" Type="http://schemas.openxmlformats.org/officeDocument/2006/relationships/hyperlink" Target="https://en.wikipedia.org/wiki/Letters_Pat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2021-01-03T06:45:00Z</dcterms:created>
  <dcterms:modified xsi:type="dcterms:W3CDTF">2021-01-03T06:45:00Z</dcterms:modified>
</cp:coreProperties>
</file>