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5A9" w:rsidRDefault="006E35A9" w:rsidP="006E35A9">
      <w:pPr>
        <w:shd w:val="clear" w:color="auto" w:fill="FFFFFF"/>
        <w:spacing w:before="470" w:after="0" w:line="595" w:lineRule="atLeast"/>
        <w:jc w:val="center"/>
        <w:outlineLvl w:val="1"/>
        <w:rPr>
          <w:rFonts w:cstheme="minorHAnsi"/>
          <w:b/>
          <w:sz w:val="32"/>
          <w:szCs w:val="32"/>
          <w:shd w:val="clear" w:color="auto" w:fill="FFFFFF"/>
        </w:rPr>
      </w:pPr>
      <w:r w:rsidRPr="006E35A9">
        <w:rPr>
          <w:rFonts w:cstheme="minorHAnsi"/>
          <w:b/>
          <w:sz w:val="32"/>
          <w:szCs w:val="32"/>
          <w:shd w:val="clear" w:color="auto" w:fill="FFFFFF"/>
        </w:rPr>
        <w:t>THE INDIAN HIGH COURTS ACT, 1911</w:t>
      </w:r>
    </w:p>
    <w:p w:rsidR="006E35A9" w:rsidRPr="006E35A9" w:rsidRDefault="006E35A9" w:rsidP="006E35A9">
      <w:pPr>
        <w:shd w:val="clear" w:color="auto" w:fill="FFFFFF"/>
        <w:spacing w:before="470" w:after="0" w:line="595" w:lineRule="atLeast"/>
        <w:outlineLvl w:val="1"/>
        <w:rPr>
          <w:rFonts w:cstheme="minorHAnsi"/>
          <w:sz w:val="26"/>
          <w:szCs w:val="26"/>
          <w:shd w:val="clear" w:color="auto" w:fill="FFFFFF"/>
        </w:rPr>
      </w:pPr>
      <w:r w:rsidRPr="006E35A9">
        <w:rPr>
          <w:rFonts w:cstheme="minorHAnsi"/>
          <w:sz w:val="26"/>
          <w:szCs w:val="26"/>
          <w:shd w:val="clear" w:color="auto" w:fill="FFFFFF"/>
        </w:rPr>
        <w:t>The Indian High Courts Act of 1911 was an </w:t>
      </w:r>
      <w:hyperlink r:id="rId5" w:tooltip="Act of Parliament (UK)" w:history="1">
        <w:r w:rsidRPr="006E35A9">
          <w:rPr>
            <w:rStyle w:val="Hyperlink"/>
            <w:rFonts w:cstheme="minorHAnsi"/>
            <w:color w:val="auto"/>
            <w:sz w:val="26"/>
            <w:szCs w:val="26"/>
            <w:u w:val="none"/>
            <w:shd w:val="clear" w:color="auto" w:fill="FFFFFF"/>
          </w:rPr>
          <w:t>Act of British Parliament</w:t>
        </w:r>
      </w:hyperlink>
      <w:r>
        <w:rPr>
          <w:rFonts w:cstheme="minorHAnsi"/>
          <w:sz w:val="26"/>
          <w:szCs w:val="26"/>
          <w:shd w:val="clear" w:color="auto" w:fill="FFFFFF"/>
        </w:rPr>
        <w:t> ratified on th</w:t>
      </w:r>
      <w:r w:rsidRPr="006E35A9">
        <w:rPr>
          <w:rFonts w:cstheme="minorHAnsi"/>
          <w:sz w:val="26"/>
          <w:szCs w:val="26"/>
          <w:shd w:val="clear" w:color="auto" w:fill="FFFFFF"/>
        </w:rPr>
        <w:t xml:space="preserve">18th of August 1911 to amend the High </w:t>
      </w:r>
      <w:proofErr w:type="spellStart"/>
      <w:r w:rsidRPr="006E35A9">
        <w:rPr>
          <w:rFonts w:cstheme="minorHAnsi"/>
          <w:sz w:val="26"/>
          <w:szCs w:val="26"/>
          <w:shd w:val="clear" w:color="auto" w:fill="FFFFFF"/>
        </w:rPr>
        <w:t>Courts</w:t>
      </w:r>
      <w:proofErr w:type="spellEnd"/>
      <w:r w:rsidRPr="006E35A9">
        <w:rPr>
          <w:rFonts w:cstheme="minorHAnsi"/>
          <w:sz w:val="26"/>
          <w:szCs w:val="26"/>
          <w:shd w:val="clear" w:color="auto" w:fill="FFFFFF"/>
        </w:rPr>
        <w:t xml:space="preserve"> Act of 1861. Notable chang</w:t>
      </w:r>
      <w:r>
        <w:rPr>
          <w:rFonts w:cstheme="minorHAnsi"/>
          <w:sz w:val="26"/>
          <w:szCs w:val="26"/>
          <w:shd w:val="clear" w:color="auto" w:fill="FFFFFF"/>
        </w:rPr>
        <w:t xml:space="preserve">es to existing </w:t>
      </w:r>
      <w:r w:rsidRPr="006E35A9">
        <w:rPr>
          <w:rFonts w:cstheme="minorHAnsi"/>
          <w:sz w:val="26"/>
          <w:szCs w:val="26"/>
          <w:shd w:val="clear" w:color="auto" w:fill="FFFFFF"/>
        </w:rPr>
        <w:t>legislation include an increase in the number of judg</w:t>
      </w:r>
      <w:r>
        <w:rPr>
          <w:rFonts w:cstheme="minorHAnsi"/>
          <w:sz w:val="26"/>
          <w:szCs w:val="26"/>
          <w:shd w:val="clear" w:color="auto" w:fill="FFFFFF"/>
        </w:rPr>
        <w:t xml:space="preserve">es of high court as well as the </w:t>
      </w:r>
      <w:r w:rsidRPr="006E35A9">
        <w:rPr>
          <w:rFonts w:cstheme="minorHAnsi"/>
          <w:sz w:val="26"/>
          <w:szCs w:val="26"/>
          <w:shd w:val="clear" w:color="auto" w:fill="FFFFFF"/>
        </w:rPr>
        <w:t>ability of government to establish additional high courts across </w:t>
      </w:r>
      <w:hyperlink r:id="rId6" w:tooltip="British Raj" w:history="1">
        <w:r w:rsidRPr="006E35A9">
          <w:rPr>
            <w:rStyle w:val="Hyperlink"/>
            <w:rFonts w:cstheme="minorHAnsi"/>
            <w:color w:val="auto"/>
            <w:sz w:val="26"/>
            <w:szCs w:val="26"/>
            <w:u w:val="none"/>
            <w:shd w:val="clear" w:color="auto" w:fill="FFFFFF"/>
          </w:rPr>
          <w:t>British India</w:t>
        </w:r>
      </w:hyperlink>
      <w:r w:rsidRPr="006E35A9">
        <w:rPr>
          <w:rFonts w:cstheme="minorHAnsi"/>
          <w:sz w:val="26"/>
          <w:szCs w:val="26"/>
          <w:shd w:val="clear" w:color="auto" w:fill="FFFFFF"/>
        </w:rPr>
        <w:t>.</w:t>
      </w:r>
    </w:p>
    <w:p w:rsidR="006E35A9" w:rsidRDefault="006E35A9" w:rsidP="006E35A9">
      <w:pPr>
        <w:pStyle w:val="Heading3"/>
        <w:shd w:val="clear" w:color="auto" w:fill="FFFFFF"/>
        <w:spacing w:before="72"/>
        <w:jc w:val="both"/>
        <w:rPr>
          <w:rStyle w:val="mw-headline"/>
          <w:rFonts w:asciiTheme="minorHAnsi" w:hAnsiTheme="minorHAnsi" w:cstheme="minorHAnsi"/>
          <w:color w:val="auto"/>
          <w:sz w:val="26"/>
          <w:szCs w:val="26"/>
        </w:rPr>
      </w:pPr>
    </w:p>
    <w:p w:rsidR="006E35A9" w:rsidRDefault="006E35A9" w:rsidP="006E35A9">
      <w:pPr>
        <w:pStyle w:val="Heading3"/>
        <w:shd w:val="clear" w:color="auto" w:fill="FFFFFF"/>
        <w:spacing w:before="72"/>
        <w:jc w:val="both"/>
        <w:rPr>
          <w:rStyle w:val="mw-headline"/>
          <w:rFonts w:asciiTheme="minorHAnsi" w:hAnsiTheme="minorHAnsi" w:cstheme="minorHAnsi"/>
          <w:color w:val="auto"/>
          <w:sz w:val="26"/>
          <w:szCs w:val="26"/>
        </w:rPr>
      </w:pPr>
      <w:r w:rsidRPr="006E35A9">
        <w:rPr>
          <w:rStyle w:val="mw-headline"/>
          <w:rFonts w:asciiTheme="minorHAnsi" w:hAnsiTheme="minorHAnsi" w:cstheme="minorHAnsi"/>
          <w:color w:val="auto"/>
          <w:sz w:val="26"/>
          <w:szCs w:val="26"/>
        </w:rPr>
        <w:t>MAIN FEATURES OF THE ACT:</w:t>
      </w:r>
    </w:p>
    <w:p w:rsidR="006E35A9" w:rsidRPr="006E35A9" w:rsidRDefault="006E35A9" w:rsidP="006E35A9"/>
    <w:p w:rsidR="006E35A9" w:rsidRPr="006E35A9" w:rsidRDefault="006E35A9" w:rsidP="006E35A9">
      <w:pPr>
        <w:pStyle w:val="Heading3"/>
        <w:numPr>
          <w:ilvl w:val="0"/>
          <w:numId w:val="1"/>
        </w:numPr>
        <w:shd w:val="clear" w:color="auto" w:fill="FFFFFF"/>
        <w:spacing w:before="72"/>
        <w:jc w:val="both"/>
        <w:rPr>
          <w:rFonts w:asciiTheme="minorHAnsi" w:hAnsiTheme="minorHAnsi" w:cstheme="minorHAnsi"/>
          <w:color w:val="auto"/>
          <w:sz w:val="26"/>
          <w:szCs w:val="26"/>
        </w:rPr>
      </w:pPr>
      <w:r w:rsidRPr="006E35A9">
        <w:rPr>
          <w:rStyle w:val="mw-headline"/>
          <w:rFonts w:asciiTheme="minorHAnsi" w:hAnsiTheme="minorHAnsi" w:cstheme="minorHAnsi"/>
          <w:color w:val="auto"/>
          <w:sz w:val="26"/>
          <w:szCs w:val="26"/>
        </w:rPr>
        <w:t>Increased number of Judges of High Court</w:t>
      </w:r>
    </w:p>
    <w:p w:rsidR="006E35A9" w:rsidRPr="006E35A9" w:rsidRDefault="006E35A9" w:rsidP="006E35A9">
      <w:pPr>
        <w:pStyle w:val="NormalWeb"/>
        <w:shd w:val="clear" w:color="auto" w:fill="FFFFFF"/>
        <w:spacing w:before="120" w:beforeAutospacing="0" w:after="0" w:afterAutospacing="0"/>
        <w:jc w:val="both"/>
        <w:rPr>
          <w:rFonts w:asciiTheme="minorHAnsi" w:hAnsiTheme="minorHAnsi" w:cstheme="minorHAnsi"/>
          <w:sz w:val="26"/>
          <w:szCs w:val="26"/>
        </w:rPr>
      </w:pPr>
      <w:r w:rsidRPr="006E35A9">
        <w:rPr>
          <w:rFonts w:asciiTheme="minorHAnsi" w:hAnsiTheme="minorHAnsi" w:cstheme="minorHAnsi"/>
          <w:sz w:val="26"/>
          <w:szCs w:val="26"/>
        </w:rPr>
        <w:t>The maximum number of judges to serve an Indian High Court was increased from sixteen to twenty. Previously enacted regulations, such as those set forth by section 2 of the </w:t>
      </w:r>
      <w:hyperlink r:id="rId7" w:tooltip="Indian High Courts Act 1861" w:history="1">
        <w:r w:rsidRPr="006E35A9">
          <w:rPr>
            <w:rStyle w:val="Hyperlink"/>
            <w:rFonts w:asciiTheme="minorHAnsi" w:eastAsiaTheme="majorEastAsia" w:hAnsiTheme="minorHAnsi" w:cstheme="minorHAnsi"/>
            <w:color w:val="auto"/>
            <w:sz w:val="26"/>
            <w:szCs w:val="26"/>
            <w:u w:val="none"/>
          </w:rPr>
          <w:t>Indian High Courts Act</w:t>
        </w:r>
      </w:hyperlink>
      <w:r w:rsidRPr="006E35A9">
        <w:rPr>
          <w:rFonts w:asciiTheme="minorHAnsi" w:hAnsiTheme="minorHAnsi" w:cstheme="minorHAnsi"/>
          <w:sz w:val="26"/>
          <w:szCs w:val="26"/>
        </w:rPr>
        <w:t>, remained in effect.</w:t>
      </w:r>
    </w:p>
    <w:p w:rsidR="006E35A9" w:rsidRPr="006E35A9" w:rsidRDefault="006E35A9" w:rsidP="006E35A9">
      <w:pPr>
        <w:pStyle w:val="NormalWeb"/>
        <w:shd w:val="clear" w:color="auto" w:fill="FFFFFF"/>
        <w:spacing w:before="120" w:beforeAutospacing="0" w:after="0" w:afterAutospacing="0"/>
        <w:jc w:val="both"/>
        <w:rPr>
          <w:rFonts w:asciiTheme="minorHAnsi" w:hAnsiTheme="minorHAnsi" w:cstheme="minorHAnsi"/>
          <w:sz w:val="26"/>
          <w:szCs w:val="26"/>
        </w:rPr>
      </w:pPr>
    </w:p>
    <w:p w:rsidR="006E35A9" w:rsidRPr="006E35A9" w:rsidRDefault="006E35A9" w:rsidP="006E35A9">
      <w:pPr>
        <w:pStyle w:val="Heading3"/>
        <w:numPr>
          <w:ilvl w:val="0"/>
          <w:numId w:val="1"/>
        </w:numPr>
        <w:shd w:val="clear" w:color="auto" w:fill="FFFFFF"/>
        <w:spacing w:before="72"/>
        <w:jc w:val="both"/>
        <w:rPr>
          <w:rFonts w:asciiTheme="minorHAnsi" w:hAnsiTheme="minorHAnsi" w:cstheme="minorHAnsi"/>
          <w:color w:val="auto"/>
          <w:sz w:val="26"/>
          <w:szCs w:val="26"/>
        </w:rPr>
      </w:pPr>
      <w:r w:rsidRPr="006E35A9">
        <w:rPr>
          <w:rStyle w:val="mw-headline"/>
          <w:rFonts w:asciiTheme="minorHAnsi" w:hAnsiTheme="minorHAnsi" w:cstheme="minorHAnsi"/>
          <w:color w:val="auto"/>
          <w:sz w:val="26"/>
          <w:szCs w:val="26"/>
        </w:rPr>
        <w:t>Power to establish additional High Courts</w:t>
      </w:r>
    </w:p>
    <w:p w:rsidR="006E35A9" w:rsidRPr="006E35A9" w:rsidRDefault="006E35A9" w:rsidP="006E35A9">
      <w:pPr>
        <w:pStyle w:val="NormalWeb"/>
        <w:shd w:val="clear" w:color="auto" w:fill="FFFFFF"/>
        <w:spacing w:before="120" w:beforeAutospacing="0" w:after="0" w:afterAutospacing="0"/>
        <w:jc w:val="both"/>
        <w:rPr>
          <w:rFonts w:asciiTheme="minorHAnsi" w:hAnsiTheme="minorHAnsi" w:cstheme="minorHAnsi"/>
          <w:sz w:val="26"/>
          <w:szCs w:val="26"/>
        </w:rPr>
      </w:pPr>
      <w:r w:rsidRPr="006E35A9">
        <w:rPr>
          <w:rFonts w:asciiTheme="minorHAnsi" w:hAnsiTheme="minorHAnsi" w:cstheme="minorHAnsi"/>
          <w:sz w:val="26"/>
          <w:szCs w:val="26"/>
        </w:rPr>
        <w:t>The powers granted to His Majesty the King under section 16 of the </w:t>
      </w:r>
      <w:hyperlink r:id="rId8" w:tooltip="Indian High Courts Act 1861" w:history="1">
        <w:r w:rsidRPr="006E35A9">
          <w:rPr>
            <w:rStyle w:val="Hyperlink"/>
            <w:rFonts w:asciiTheme="minorHAnsi" w:eastAsiaTheme="majorEastAsia" w:hAnsiTheme="minorHAnsi" w:cstheme="minorHAnsi"/>
            <w:color w:val="auto"/>
            <w:sz w:val="26"/>
            <w:szCs w:val="26"/>
            <w:u w:val="none"/>
          </w:rPr>
          <w:t>Indian High Courts Act</w:t>
        </w:r>
      </w:hyperlink>
      <w:r w:rsidRPr="006E35A9">
        <w:rPr>
          <w:rFonts w:asciiTheme="minorHAnsi" w:hAnsiTheme="minorHAnsi" w:cstheme="minorHAnsi"/>
          <w:sz w:val="26"/>
          <w:szCs w:val="26"/>
        </w:rPr>
        <w:t> were expanded to allow for the establishment of additional High Courts across British India. Previously, only four courts had been established. Incidental, consequential or supplemental alterations to local or existing jurisdictions were to be made by means of order or </w:t>
      </w:r>
      <w:hyperlink r:id="rId9" w:tooltip="Letters patent" w:history="1">
        <w:r w:rsidRPr="006E35A9">
          <w:rPr>
            <w:rStyle w:val="Hyperlink"/>
            <w:rFonts w:asciiTheme="minorHAnsi" w:eastAsiaTheme="majorEastAsia" w:hAnsiTheme="minorHAnsi" w:cstheme="minorHAnsi"/>
            <w:color w:val="auto"/>
            <w:sz w:val="26"/>
            <w:szCs w:val="26"/>
            <w:u w:val="none"/>
          </w:rPr>
          <w:t>patent</w:t>
        </w:r>
      </w:hyperlink>
      <w:r w:rsidRPr="006E35A9">
        <w:rPr>
          <w:rFonts w:asciiTheme="minorHAnsi" w:hAnsiTheme="minorHAnsi" w:cstheme="minorHAnsi"/>
          <w:sz w:val="26"/>
          <w:szCs w:val="26"/>
        </w:rPr>
        <w:t> so as to ensure the administrative superintendence of the newly established High Courts. Here, too, previously enacted regulations remained in effect.</w:t>
      </w:r>
    </w:p>
    <w:p w:rsidR="006E35A9" w:rsidRPr="006E35A9" w:rsidRDefault="006E35A9" w:rsidP="006E35A9">
      <w:pPr>
        <w:pStyle w:val="NormalWeb"/>
        <w:shd w:val="clear" w:color="auto" w:fill="FFFFFF"/>
        <w:spacing w:before="120" w:beforeAutospacing="0" w:after="0" w:afterAutospacing="0"/>
        <w:jc w:val="both"/>
        <w:rPr>
          <w:rFonts w:asciiTheme="minorHAnsi" w:hAnsiTheme="minorHAnsi" w:cstheme="minorHAnsi"/>
          <w:sz w:val="26"/>
          <w:szCs w:val="26"/>
        </w:rPr>
      </w:pPr>
    </w:p>
    <w:p w:rsidR="006E35A9" w:rsidRPr="006E35A9" w:rsidRDefault="006E35A9" w:rsidP="006E35A9">
      <w:pPr>
        <w:pStyle w:val="Heading3"/>
        <w:numPr>
          <w:ilvl w:val="0"/>
          <w:numId w:val="1"/>
        </w:numPr>
        <w:shd w:val="clear" w:color="auto" w:fill="FFFFFF"/>
        <w:spacing w:before="72"/>
        <w:jc w:val="both"/>
        <w:rPr>
          <w:rFonts w:asciiTheme="minorHAnsi" w:hAnsiTheme="minorHAnsi" w:cstheme="minorHAnsi"/>
          <w:color w:val="auto"/>
          <w:sz w:val="26"/>
          <w:szCs w:val="26"/>
        </w:rPr>
      </w:pPr>
      <w:r w:rsidRPr="006E35A9">
        <w:rPr>
          <w:rStyle w:val="mw-headline"/>
          <w:rFonts w:asciiTheme="minorHAnsi" w:hAnsiTheme="minorHAnsi" w:cstheme="minorHAnsi"/>
          <w:color w:val="auto"/>
          <w:sz w:val="26"/>
          <w:szCs w:val="26"/>
        </w:rPr>
        <w:t>Power to appoint Temporary Judges</w:t>
      </w:r>
    </w:p>
    <w:p w:rsidR="006E35A9" w:rsidRPr="006E35A9" w:rsidRDefault="006E35A9" w:rsidP="006E35A9">
      <w:pPr>
        <w:pStyle w:val="NormalWeb"/>
        <w:shd w:val="clear" w:color="auto" w:fill="FFFFFF"/>
        <w:spacing w:before="120" w:beforeAutospacing="0" w:after="0" w:afterAutospacing="0"/>
        <w:jc w:val="both"/>
        <w:rPr>
          <w:rFonts w:asciiTheme="minorHAnsi" w:hAnsiTheme="minorHAnsi" w:cstheme="minorHAnsi"/>
          <w:sz w:val="26"/>
          <w:szCs w:val="26"/>
        </w:rPr>
      </w:pPr>
      <w:r w:rsidRPr="006E35A9">
        <w:rPr>
          <w:rFonts w:asciiTheme="minorHAnsi" w:hAnsiTheme="minorHAnsi" w:cstheme="minorHAnsi"/>
          <w:sz w:val="26"/>
          <w:szCs w:val="26"/>
        </w:rPr>
        <w:t>Subject to the provisions of section 2 of the </w:t>
      </w:r>
      <w:hyperlink r:id="rId10" w:tooltip="Indian High Courts Act 1861" w:history="1">
        <w:r w:rsidRPr="006E35A9">
          <w:rPr>
            <w:rStyle w:val="Hyperlink"/>
            <w:rFonts w:asciiTheme="minorHAnsi" w:eastAsiaTheme="majorEastAsia" w:hAnsiTheme="minorHAnsi" w:cstheme="minorHAnsi"/>
            <w:color w:val="auto"/>
            <w:sz w:val="26"/>
            <w:szCs w:val="26"/>
            <w:u w:val="none"/>
          </w:rPr>
          <w:t>Indian High Courts Act</w:t>
        </w:r>
      </w:hyperlink>
      <w:r w:rsidRPr="006E35A9">
        <w:rPr>
          <w:rFonts w:asciiTheme="minorHAnsi" w:hAnsiTheme="minorHAnsi" w:cstheme="minorHAnsi"/>
          <w:sz w:val="26"/>
          <w:szCs w:val="26"/>
        </w:rPr>
        <w:t>, as amended by this Act, it was to be lawful for the Governor General in Council to appoint additional judges to High Courts ″as required by necessity or circumstance.″ Whilst appointed for no more than two years, temporary judges were to be granted powers no different from those allowed to the judges appointed by the monarch.</w:t>
      </w:r>
    </w:p>
    <w:p w:rsidR="006E35A9" w:rsidRDefault="006E35A9" w:rsidP="006E35A9">
      <w:pPr>
        <w:shd w:val="clear" w:color="auto" w:fill="FFFFFF"/>
        <w:spacing w:before="470" w:after="0" w:line="595" w:lineRule="atLeast"/>
        <w:jc w:val="both"/>
        <w:outlineLvl w:val="1"/>
        <w:rPr>
          <w:rFonts w:eastAsia="Times New Roman" w:cstheme="minorHAnsi"/>
          <w:b/>
          <w:bCs/>
          <w:sz w:val="26"/>
          <w:szCs w:val="26"/>
          <w:lang w:eastAsia="en-IN"/>
        </w:rPr>
      </w:pPr>
    </w:p>
    <w:p w:rsidR="006E35A9" w:rsidRPr="006E35A9" w:rsidRDefault="006E35A9" w:rsidP="006E35A9">
      <w:pPr>
        <w:shd w:val="clear" w:color="auto" w:fill="FFFFFF"/>
        <w:spacing w:before="470" w:after="0" w:line="595" w:lineRule="atLeast"/>
        <w:jc w:val="both"/>
        <w:outlineLvl w:val="1"/>
        <w:rPr>
          <w:rFonts w:eastAsia="Times New Roman" w:cstheme="minorHAnsi"/>
          <w:sz w:val="26"/>
          <w:szCs w:val="26"/>
          <w:lang w:eastAsia="en-IN"/>
        </w:rPr>
      </w:pPr>
      <w:r w:rsidRPr="006E35A9">
        <w:rPr>
          <w:rFonts w:eastAsia="Times New Roman" w:cstheme="minorHAnsi"/>
          <w:b/>
          <w:bCs/>
          <w:sz w:val="26"/>
          <w:szCs w:val="26"/>
          <w:lang w:eastAsia="en-IN"/>
        </w:rPr>
        <w:lastRenderedPageBreak/>
        <w:t>Power to establish additional High Courts</w:t>
      </w:r>
    </w:p>
    <w:p w:rsidR="006E35A9" w:rsidRPr="006E35A9" w:rsidRDefault="006E35A9" w:rsidP="006E35A9">
      <w:pPr>
        <w:shd w:val="clear" w:color="auto" w:fill="FFFFFF"/>
        <w:spacing w:after="0" w:line="407" w:lineRule="atLeast"/>
        <w:jc w:val="both"/>
        <w:rPr>
          <w:rFonts w:eastAsia="Times New Roman" w:cstheme="minorHAnsi"/>
          <w:sz w:val="26"/>
          <w:szCs w:val="26"/>
          <w:lang w:eastAsia="en-IN"/>
        </w:rPr>
      </w:pPr>
      <w:r w:rsidRPr="006E35A9">
        <w:rPr>
          <w:rFonts w:eastAsia="Times New Roman" w:cstheme="minorHAnsi"/>
          <w:sz w:val="26"/>
          <w:szCs w:val="26"/>
          <w:lang w:eastAsia="en-IN"/>
        </w:rPr>
        <w:t>The power of His Majesty under section sixteen of the Indian High Courts Act, 1861,’may be exercised from time to time, and a High Court may be established wider that section in any portion of the territories within His Majesty’s (dominion in India, whether or not included within the limits of the local jurisdiction of another High Court; and, where such a High Court is established in any part of such territories included within the limits of the local jurisdiction of another High Court, it shall be lawful for His Majesty by letters patent to ‘alter the local jurisdiction of that other High Court and to make such incidental, consequential, and supplemental provisions as may appear to be necessary by reason of the alteration of those limits.</w:t>
      </w:r>
    </w:p>
    <w:p w:rsidR="006E35A9" w:rsidRPr="006E35A9" w:rsidRDefault="006E35A9" w:rsidP="006E35A9">
      <w:pPr>
        <w:pStyle w:val="NormalWeb"/>
        <w:shd w:val="clear" w:color="auto" w:fill="FFFFFF"/>
        <w:spacing w:before="120" w:beforeAutospacing="0" w:after="0" w:afterAutospacing="0"/>
        <w:jc w:val="both"/>
        <w:rPr>
          <w:rFonts w:asciiTheme="minorHAnsi" w:hAnsiTheme="minorHAnsi" w:cstheme="minorHAnsi"/>
          <w:sz w:val="26"/>
          <w:szCs w:val="26"/>
        </w:rPr>
      </w:pPr>
    </w:p>
    <w:p w:rsidR="006E35A9" w:rsidRPr="006E35A9" w:rsidRDefault="006E35A9" w:rsidP="006E35A9">
      <w:pPr>
        <w:pStyle w:val="Heading3"/>
        <w:numPr>
          <w:ilvl w:val="0"/>
          <w:numId w:val="1"/>
        </w:numPr>
        <w:shd w:val="clear" w:color="auto" w:fill="FFFFFF"/>
        <w:spacing w:before="72"/>
        <w:jc w:val="both"/>
        <w:rPr>
          <w:rFonts w:asciiTheme="minorHAnsi" w:hAnsiTheme="minorHAnsi" w:cstheme="minorHAnsi"/>
          <w:color w:val="auto"/>
          <w:sz w:val="26"/>
          <w:szCs w:val="26"/>
        </w:rPr>
      </w:pPr>
      <w:r w:rsidRPr="006E35A9">
        <w:rPr>
          <w:rStyle w:val="mw-headline"/>
          <w:rFonts w:asciiTheme="minorHAnsi" w:hAnsiTheme="minorHAnsi" w:cstheme="minorHAnsi"/>
          <w:color w:val="auto"/>
          <w:sz w:val="26"/>
          <w:szCs w:val="26"/>
        </w:rPr>
        <w:t>Salaries</w:t>
      </w:r>
    </w:p>
    <w:p w:rsidR="006E35A9" w:rsidRPr="006E35A9" w:rsidRDefault="006E35A9" w:rsidP="006E35A9">
      <w:pPr>
        <w:pStyle w:val="NormalWeb"/>
        <w:shd w:val="clear" w:color="auto" w:fill="FFFFFF"/>
        <w:spacing w:before="120" w:beforeAutospacing="0" w:after="0" w:afterAutospacing="0"/>
        <w:jc w:val="both"/>
        <w:rPr>
          <w:rFonts w:asciiTheme="minorHAnsi" w:hAnsiTheme="minorHAnsi" w:cstheme="minorHAnsi"/>
          <w:sz w:val="26"/>
          <w:szCs w:val="26"/>
        </w:rPr>
      </w:pPr>
      <w:r w:rsidRPr="006E35A9">
        <w:rPr>
          <w:rFonts w:asciiTheme="minorHAnsi" w:hAnsiTheme="minorHAnsi" w:cstheme="minorHAnsi"/>
          <w:sz w:val="26"/>
          <w:szCs w:val="26"/>
        </w:rPr>
        <w:t>The salaries of any judges or temporary judges appointed under this Act were to be paid out of the Revenues of India.</w:t>
      </w:r>
    </w:p>
    <w:p w:rsidR="006E35A9" w:rsidRPr="006E35A9" w:rsidRDefault="006E35A9" w:rsidP="006E35A9">
      <w:pPr>
        <w:pStyle w:val="NormalWeb"/>
        <w:shd w:val="clear" w:color="auto" w:fill="FFFFFF"/>
        <w:spacing w:before="120" w:beforeAutospacing="0" w:after="0" w:afterAutospacing="0"/>
        <w:jc w:val="both"/>
        <w:rPr>
          <w:rFonts w:asciiTheme="minorHAnsi" w:hAnsiTheme="minorHAnsi" w:cstheme="minorHAnsi"/>
          <w:sz w:val="26"/>
          <w:szCs w:val="26"/>
        </w:rPr>
      </w:pPr>
    </w:p>
    <w:p w:rsidR="006E35A9" w:rsidRPr="006E35A9" w:rsidRDefault="006E35A9" w:rsidP="006E35A9">
      <w:pPr>
        <w:pStyle w:val="NormalWeb"/>
        <w:shd w:val="clear" w:color="auto" w:fill="FFFFFF"/>
        <w:spacing w:before="120" w:beforeAutospacing="0" w:after="0" w:afterAutospacing="0"/>
        <w:jc w:val="both"/>
        <w:rPr>
          <w:rFonts w:asciiTheme="minorHAnsi" w:hAnsiTheme="minorHAnsi" w:cstheme="minorHAnsi"/>
          <w:sz w:val="26"/>
          <w:szCs w:val="26"/>
        </w:rPr>
      </w:pPr>
      <w:r w:rsidRPr="006E35A9">
        <w:rPr>
          <w:rFonts w:asciiTheme="minorHAnsi" w:hAnsiTheme="minorHAnsi" w:cstheme="minorHAnsi"/>
          <w:sz w:val="26"/>
          <w:szCs w:val="26"/>
        </w:rPr>
        <w:t>Thus, this Act was to be cited as the Indian High Courts Act, 1911. Together with the Acts of 1861 and 1865, this Act was to be cited as the Indian High Courts Act, 1861 to 1911.</w:t>
      </w:r>
    </w:p>
    <w:p w:rsidR="006E35A9" w:rsidRPr="006E35A9" w:rsidRDefault="006E35A9" w:rsidP="006E35A9">
      <w:pPr>
        <w:shd w:val="clear" w:color="auto" w:fill="FFFFFF"/>
        <w:spacing w:before="470" w:after="0" w:line="595" w:lineRule="atLeast"/>
        <w:jc w:val="both"/>
        <w:outlineLvl w:val="1"/>
        <w:rPr>
          <w:rFonts w:cstheme="minorHAnsi"/>
          <w:sz w:val="26"/>
          <w:szCs w:val="26"/>
          <w:shd w:val="clear" w:color="auto" w:fill="FFFFFF"/>
        </w:rPr>
      </w:pPr>
    </w:p>
    <w:p w:rsidR="00346302" w:rsidRPr="006E35A9" w:rsidRDefault="00346302" w:rsidP="006E35A9">
      <w:pPr>
        <w:spacing w:after="0"/>
        <w:jc w:val="both"/>
        <w:rPr>
          <w:rFonts w:cstheme="minorHAnsi"/>
          <w:sz w:val="26"/>
          <w:szCs w:val="26"/>
        </w:rPr>
      </w:pPr>
    </w:p>
    <w:sectPr w:rsidR="00346302" w:rsidRPr="006E35A9" w:rsidSect="0034630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67CA4"/>
    <w:multiLevelType w:val="hybridMultilevel"/>
    <w:tmpl w:val="4A5E64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6E35A9"/>
    <w:rsid w:val="00000980"/>
    <w:rsid w:val="0000334F"/>
    <w:rsid w:val="00003758"/>
    <w:rsid w:val="00003FF6"/>
    <w:rsid w:val="000044B5"/>
    <w:rsid w:val="00006D88"/>
    <w:rsid w:val="00007BCA"/>
    <w:rsid w:val="00007FEA"/>
    <w:rsid w:val="00010366"/>
    <w:rsid w:val="00010E33"/>
    <w:rsid w:val="0001526C"/>
    <w:rsid w:val="0002111C"/>
    <w:rsid w:val="000215D5"/>
    <w:rsid w:val="000241C1"/>
    <w:rsid w:val="00025ADC"/>
    <w:rsid w:val="00025CB2"/>
    <w:rsid w:val="0003359F"/>
    <w:rsid w:val="000339F6"/>
    <w:rsid w:val="00035EB4"/>
    <w:rsid w:val="00036701"/>
    <w:rsid w:val="000377A7"/>
    <w:rsid w:val="000379C8"/>
    <w:rsid w:val="000407C1"/>
    <w:rsid w:val="0004214B"/>
    <w:rsid w:val="00043F91"/>
    <w:rsid w:val="00044D67"/>
    <w:rsid w:val="00047E65"/>
    <w:rsid w:val="00050BC7"/>
    <w:rsid w:val="000543AF"/>
    <w:rsid w:val="000545D2"/>
    <w:rsid w:val="00054F09"/>
    <w:rsid w:val="00055ECB"/>
    <w:rsid w:val="0005771D"/>
    <w:rsid w:val="0006326C"/>
    <w:rsid w:val="00065DD4"/>
    <w:rsid w:val="00066497"/>
    <w:rsid w:val="000664C0"/>
    <w:rsid w:val="000671E3"/>
    <w:rsid w:val="000678E8"/>
    <w:rsid w:val="00070B36"/>
    <w:rsid w:val="0007289E"/>
    <w:rsid w:val="000754DB"/>
    <w:rsid w:val="00076E87"/>
    <w:rsid w:val="00080804"/>
    <w:rsid w:val="000808E3"/>
    <w:rsid w:val="00082C25"/>
    <w:rsid w:val="00082D44"/>
    <w:rsid w:val="00083051"/>
    <w:rsid w:val="00083369"/>
    <w:rsid w:val="00085569"/>
    <w:rsid w:val="00086569"/>
    <w:rsid w:val="00086E55"/>
    <w:rsid w:val="0008796E"/>
    <w:rsid w:val="00092552"/>
    <w:rsid w:val="00096642"/>
    <w:rsid w:val="000A0D4C"/>
    <w:rsid w:val="000A2A1F"/>
    <w:rsid w:val="000A30FE"/>
    <w:rsid w:val="000A5A36"/>
    <w:rsid w:val="000B2802"/>
    <w:rsid w:val="000B61B2"/>
    <w:rsid w:val="000B66D5"/>
    <w:rsid w:val="000B77CA"/>
    <w:rsid w:val="000C2A8D"/>
    <w:rsid w:val="000C2AAD"/>
    <w:rsid w:val="000C2B3D"/>
    <w:rsid w:val="000C315B"/>
    <w:rsid w:val="000C44BA"/>
    <w:rsid w:val="000C61FA"/>
    <w:rsid w:val="000C7C4D"/>
    <w:rsid w:val="000D03C6"/>
    <w:rsid w:val="000D0E71"/>
    <w:rsid w:val="000D6B2E"/>
    <w:rsid w:val="000E1EDD"/>
    <w:rsid w:val="000E44ED"/>
    <w:rsid w:val="000E4BD2"/>
    <w:rsid w:val="000E5917"/>
    <w:rsid w:val="000E629E"/>
    <w:rsid w:val="000E735A"/>
    <w:rsid w:val="000F12CD"/>
    <w:rsid w:val="000F1EA2"/>
    <w:rsid w:val="000F2E97"/>
    <w:rsid w:val="000F38F4"/>
    <w:rsid w:val="000F3CF9"/>
    <w:rsid w:val="000F6EBC"/>
    <w:rsid w:val="001001B1"/>
    <w:rsid w:val="001014FF"/>
    <w:rsid w:val="00101ADE"/>
    <w:rsid w:val="0010411D"/>
    <w:rsid w:val="0010470F"/>
    <w:rsid w:val="0010520B"/>
    <w:rsid w:val="00105891"/>
    <w:rsid w:val="00106DC5"/>
    <w:rsid w:val="00106E32"/>
    <w:rsid w:val="00107BB4"/>
    <w:rsid w:val="0011181A"/>
    <w:rsid w:val="001129DC"/>
    <w:rsid w:val="0011337E"/>
    <w:rsid w:val="00115FD8"/>
    <w:rsid w:val="001210E8"/>
    <w:rsid w:val="0012202C"/>
    <w:rsid w:val="001239F8"/>
    <w:rsid w:val="00125376"/>
    <w:rsid w:val="0012549E"/>
    <w:rsid w:val="00130501"/>
    <w:rsid w:val="00133243"/>
    <w:rsid w:val="001346BA"/>
    <w:rsid w:val="001372EE"/>
    <w:rsid w:val="00137E8A"/>
    <w:rsid w:val="00140EED"/>
    <w:rsid w:val="001421DD"/>
    <w:rsid w:val="00142654"/>
    <w:rsid w:val="0014511D"/>
    <w:rsid w:val="00147963"/>
    <w:rsid w:val="00150DC0"/>
    <w:rsid w:val="00150F96"/>
    <w:rsid w:val="001543B8"/>
    <w:rsid w:val="00155CC5"/>
    <w:rsid w:val="00156EFC"/>
    <w:rsid w:val="0016686C"/>
    <w:rsid w:val="00166922"/>
    <w:rsid w:val="00166DF0"/>
    <w:rsid w:val="001719FF"/>
    <w:rsid w:val="0017241E"/>
    <w:rsid w:val="00172D89"/>
    <w:rsid w:val="001742B4"/>
    <w:rsid w:val="00174ED2"/>
    <w:rsid w:val="0017750F"/>
    <w:rsid w:val="00181F76"/>
    <w:rsid w:val="0018380B"/>
    <w:rsid w:val="00183E48"/>
    <w:rsid w:val="0018489B"/>
    <w:rsid w:val="00190768"/>
    <w:rsid w:val="00190CE2"/>
    <w:rsid w:val="00192CA8"/>
    <w:rsid w:val="00195A0D"/>
    <w:rsid w:val="00195C4A"/>
    <w:rsid w:val="00196DD9"/>
    <w:rsid w:val="001976C8"/>
    <w:rsid w:val="001A1D97"/>
    <w:rsid w:val="001A5150"/>
    <w:rsid w:val="001A6232"/>
    <w:rsid w:val="001A7565"/>
    <w:rsid w:val="001B2591"/>
    <w:rsid w:val="001B6833"/>
    <w:rsid w:val="001B7998"/>
    <w:rsid w:val="001C0280"/>
    <w:rsid w:val="001C03C7"/>
    <w:rsid w:val="001C0CA3"/>
    <w:rsid w:val="001C26D2"/>
    <w:rsid w:val="001C5C54"/>
    <w:rsid w:val="001C61A9"/>
    <w:rsid w:val="001C775C"/>
    <w:rsid w:val="001D0F92"/>
    <w:rsid w:val="001D1136"/>
    <w:rsid w:val="001D195D"/>
    <w:rsid w:val="001D283F"/>
    <w:rsid w:val="001D3A10"/>
    <w:rsid w:val="001D517C"/>
    <w:rsid w:val="001D700A"/>
    <w:rsid w:val="001E076B"/>
    <w:rsid w:val="001E0805"/>
    <w:rsid w:val="001E1CEB"/>
    <w:rsid w:val="001E1D34"/>
    <w:rsid w:val="001F0BC4"/>
    <w:rsid w:val="001F39DC"/>
    <w:rsid w:val="001F5098"/>
    <w:rsid w:val="001F6DA1"/>
    <w:rsid w:val="00201128"/>
    <w:rsid w:val="00201A10"/>
    <w:rsid w:val="00202998"/>
    <w:rsid w:val="00203769"/>
    <w:rsid w:val="002048A0"/>
    <w:rsid w:val="002049E2"/>
    <w:rsid w:val="00206B17"/>
    <w:rsid w:val="00207961"/>
    <w:rsid w:val="002112EA"/>
    <w:rsid w:val="00212D00"/>
    <w:rsid w:val="00213F2E"/>
    <w:rsid w:val="002145FE"/>
    <w:rsid w:val="002162DC"/>
    <w:rsid w:val="00217EBA"/>
    <w:rsid w:val="002200DD"/>
    <w:rsid w:val="0022095F"/>
    <w:rsid w:val="00221CB2"/>
    <w:rsid w:val="0022210C"/>
    <w:rsid w:val="00227806"/>
    <w:rsid w:val="00227C20"/>
    <w:rsid w:val="00230C69"/>
    <w:rsid w:val="00231D4E"/>
    <w:rsid w:val="0023298F"/>
    <w:rsid w:val="00232BBF"/>
    <w:rsid w:val="002355A1"/>
    <w:rsid w:val="00235990"/>
    <w:rsid w:val="0023676C"/>
    <w:rsid w:val="0023762F"/>
    <w:rsid w:val="00237F2C"/>
    <w:rsid w:val="00240C4E"/>
    <w:rsid w:val="00241988"/>
    <w:rsid w:val="002468A0"/>
    <w:rsid w:val="00246C99"/>
    <w:rsid w:val="00250B8D"/>
    <w:rsid w:val="00252E9E"/>
    <w:rsid w:val="002548B1"/>
    <w:rsid w:val="00256D2E"/>
    <w:rsid w:val="0025705F"/>
    <w:rsid w:val="0026085E"/>
    <w:rsid w:val="002632D0"/>
    <w:rsid w:val="00265589"/>
    <w:rsid w:val="00270BC1"/>
    <w:rsid w:val="00272116"/>
    <w:rsid w:val="002773D7"/>
    <w:rsid w:val="002778AD"/>
    <w:rsid w:val="00277D6F"/>
    <w:rsid w:val="00282584"/>
    <w:rsid w:val="00282F79"/>
    <w:rsid w:val="00284A92"/>
    <w:rsid w:val="00285E52"/>
    <w:rsid w:val="00285E5F"/>
    <w:rsid w:val="00286888"/>
    <w:rsid w:val="00287382"/>
    <w:rsid w:val="00291C3A"/>
    <w:rsid w:val="00294B9B"/>
    <w:rsid w:val="00296416"/>
    <w:rsid w:val="00296CFA"/>
    <w:rsid w:val="002A5BBE"/>
    <w:rsid w:val="002A5E50"/>
    <w:rsid w:val="002A6272"/>
    <w:rsid w:val="002A7B50"/>
    <w:rsid w:val="002B061B"/>
    <w:rsid w:val="002B084C"/>
    <w:rsid w:val="002B313C"/>
    <w:rsid w:val="002B4AE2"/>
    <w:rsid w:val="002B6DFC"/>
    <w:rsid w:val="002C348E"/>
    <w:rsid w:val="002C4013"/>
    <w:rsid w:val="002C4387"/>
    <w:rsid w:val="002C5303"/>
    <w:rsid w:val="002C7207"/>
    <w:rsid w:val="002D43DA"/>
    <w:rsid w:val="002D65EC"/>
    <w:rsid w:val="002D6CF7"/>
    <w:rsid w:val="002D7954"/>
    <w:rsid w:val="002E0FF5"/>
    <w:rsid w:val="002E1676"/>
    <w:rsid w:val="002E29FB"/>
    <w:rsid w:val="002E5A13"/>
    <w:rsid w:val="002E7CA1"/>
    <w:rsid w:val="002F1BF8"/>
    <w:rsid w:val="002F38E0"/>
    <w:rsid w:val="002F58E5"/>
    <w:rsid w:val="002F5E83"/>
    <w:rsid w:val="002F6BEA"/>
    <w:rsid w:val="002F7BB1"/>
    <w:rsid w:val="003011C2"/>
    <w:rsid w:val="00301CC1"/>
    <w:rsid w:val="00303F1E"/>
    <w:rsid w:val="00305817"/>
    <w:rsid w:val="00310260"/>
    <w:rsid w:val="003102F9"/>
    <w:rsid w:val="00310B1F"/>
    <w:rsid w:val="00312088"/>
    <w:rsid w:val="00312E0A"/>
    <w:rsid w:val="00314519"/>
    <w:rsid w:val="00315A5C"/>
    <w:rsid w:val="003160B2"/>
    <w:rsid w:val="003162DE"/>
    <w:rsid w:val="00316B7A"/>
    <w:rsid w:val="003172A3"/>
    <w:rsid w:val="00321750"/>
    <w:rsid w:val="00326DC0"/>
    <w:rsid w:val="00326E22"/>
    <w:rsid w:val="00327007"/>
    <w:rsid w:val="0033015E"/>
    <w:rsid w:val="0033565C"/>
    <w:rsid w:val="00336422"/>
    <w:rsid w:val="00336F99"/>
    <w:rsid w:val="003379BE"/>
    <w:rsid w:val="00342922"/>
    <w:rsid w:val="003446E0"/>
    <w:rsid w:val="003450E5"/>
    <w:rsid w:val="00346302"/>
    <w:rsid w:val="00351F9F"/>
    <w:rsid w:val="00353439"/>
    <w:rsid w:val="003536ED"/>
    <w:rsid w:val="00353F64"/>
    <w:rsid w:val="00355658"/>
    <w:rsid w:val="0035630E"/>
    <w:rsid w:val="00361C66"/>
    <w:rsid w:val="003620DA"/>
    <w:rsid w:val="00362F11"/>
    <w:rsid w:val="00365B69"/>
    <w:rsid w:val="00372553"/>
    <w:rsid w:val="003725AC"/>
    <w:rsid w:val="00372E52"/>
    <w:rsid w:val="0037475B"/>
    <w:rsid w:val="00376EAF"/>
    <w:rsid w:val="00377965"/>
    <w:rsid w:val="0038211B"/>
    <w:rsid w:val="00382B1F"/>
    <w:rsid w:val="00383556"/>
    <w:rsid w:val="00383F81"/>
    <w:rsid w:val="003903E2"/>
    <w:rsid w:val="00390FE1"/>
    <w:rsid w:val="00392BEB"/>
    <w:rsid w:val="003939FD"/>
    <w:rsid w:val="00394ECF"/>
    <w:rsid w:val="003A0EAF"/>
    <w:rsid w:val="003A3208"/>
    <w:rsid w:val="003A7B92"/>
    <w:rsid w:val="003B0B4B"/>
    <w:rsid w:val="003B302B"/>
    <w:rsid w:val="003B3943"/>
    <w:rsid w:val="003B3D0A"/>
    <w:rsid w:val="003B4217"/>
    <w:rsid w:val="003B4D0C"/>
    <w:rsid w:val="003B60A5"/>
    <w:rsid w:val="003C162F"/>
    <w:rsid w:val="003C1CB2"/>
    <w:rsid w:val="003C3249"/>
    <w:rsid w:val="003C4D4B"/>
    <w:rsid w:val="003C5D93"/>
    <w:rsid w:val="003D1ABC"/>
    <w:rsid w:val="003D3C2D"/>
    <w:rsid w:val="003D52E6"/>
    <w:rsid w:val="003D5ADD"/>
    <w:rsid w:val="003D6538"/>
    <w:rsid w:val="003E117C"/>
    <w:rsid w:val="003E11E5"/>
    <w:rsid w:val="003E1881"/>
    <w:rsid w:val="003E2080"/>
    <w:rsid w:val="003E767A"/>
    <w:rsid w:val="003E7CD1"/>
    <w:rsid w:val="003F092E"/>
    <w:rsid w:val="003F2167"/>
    <w:rsid w:val="003F2CBC"/>
    <w:rsid w:val="003F3880"/>
    <w:rsid w:val="003F729B"/>
    <w:rsid w:val="0040027A"/>
    <w:rsid w:val="00401297"/>
    <w:rsid w:val="004015F4"/>
    <w:rsid w:val="004038BB"/>
    <w:rsid w:val="00403AB8"/>
    <w:rsid w:val="00404C18"/>
    <w:rsid w:val="0040546F"/>
    <w:rsid w:val="004062D3"/>
    <w:rsid w:val="0041010D"/>
    <w:rsid w:val="00410F65"/>
    <w:rsid w:val="004118CD"/>
    <w:rsid w:val="004120DA"/>
    <w:rsid w:val="00413A0C"/>
    <w:rsid w:val="004148E2"/>
    <w:rsid w:val="0042099F"/>
    <w:rsid w:val="00420B47"/>
    <w:rsid w:val="00423D64"/>
    <w:rsid w:val="004241CA"/>
    <w:rsid w:val="00430EF2"/>
    <w:rsid w:val="004310DC"/>
    <w:rsid w:val="00431436"/>
    <w:rsid w:val="0043175D"/>
    <w:rsid w:val="00432D06"/>
    <w:rsid w:val="00435AF5"/>
    <w:rsid w:val="00436847"/>
    <w:rsid w:val="00437256"/>
    <w:rsid w:val="00437759"/>
    <w:rsid w:val="00440323"/>
    <w:rsid w:val="00440B2F"/>
    <w:rsid w:val="0044108D"/>
    <w:rsid w:val="0044452D"/>
    <w:rsid w:val="00445B49"/>
    <w:rsid w:val="00447CCC"/>
    <w:rsid w:val="0045172E"/>
    <w:rsid w:val="004535F7"/>
    <w:rsid w:val="00456675"/>
    <w:rsid w:val="0045762A"/>
    <w:rsid w:val="00460B9E"/>
    <w:rsid w:val="00461890"/>
    <w:rsid w:val="00462BE9"/>
    <w:rsid w:val="00463425"/>
    <w:rsid w:val="00465200"/>
    <w:rsid w:val="00465580"/>
    <w:rsid w:val="00472B96"/>
    <w:rsid w:val="004733FD"/>
    <w:rsid w:val="004814AC"/>
    <w:rsid w:val="00483619"/>
    <w:rsid w:val="004838DA"/>
    <w:rsid w:val="004853FE"/>
    <w:rsid w:val="0048550F"/>
    <w:rsid w:val="004934B0"/>
    <w:rsid w:val="00494034"/>
    <w:rsid w:val="004959DB"/>
    <w:rsid w:val="00496030"/>
    <w:rsid w:val="00496FC6"/>
    <w:rsid w:val="00497D01"/>
    <w:rsid w:val="00497D89"/>
    <w:rsid w:val="004A1155"/>
    <w:rsid w:val="004A147F"/>
    <w:rsid w:val="004A1C10"/>
    <w:rsid w:val="004A3176"/>
    <w:rsid w:val="004A4DCC"/>
    <w:rsid w:val="004A63F4"/>
    <w:rsid w:val="004A6FCD"/>
    <w:rsid w:val="004B001B"/>
    <w:rsid w:val="004B0528"/>
    <w:rsid w:val="004B17EE"/>
    <w:rsid w:val="004B34B8"/>
    <w:rsid w:val="004B5AAA"/>
    <w:rsid w:val="004B7921"/>
    <w:rsid w:val="004B7D08"/>
    <w:rsid w:val="004C0E9C"/>
    <w:rsid w:val="004C1597"/>
    <w:rsid w:val="004C2608"/>
    <w:rsid w:val="004C2F8A"/>
    <w:rsid w:val="004C447C"/>
    <w:rsid w:val="004C5CA2"/>
    <w:rsid w:val="004D04C8"/>
    <w:rsid w:val="004D0BBD"/>
    <w:rsid w:val="004D0E6C"/>
    <w:rsid w:val="004D1734"/>
    <w:rsid w:val="004D1F32"/>
    <w:rsid w:val="004D25A9"/>
    <w:rsid w:val="004D40CA"/>
    <w:rsid w:val="004D6D38"/>
    <w:rsid w:val="004E0733"/>
    <w:rsid w:val="004E2737"/>
    <w:rsid w:val="004E4438"/>
    <w:rsid w:val="004E5AF4"/>
    <w:rsid w:val="004F0BBD"/>
    <w:rsid w:val="004F3372"/>
    <w:rsid w:val="005008AF"/>
    <w:rsid w:val="00500CCE"/>
    <w:rsid w:val="00501C38"/>
    <w:rsid w:val="00503541"/>
    <w:rsid w:val="00505006"/>
    <w:rsid w:val="00505205"/>
    <w:rsid w:val="0050564A"/>
    <w:rsid w:val="00505AFD"/>
    <w:rsid w:val="005063C5"/>
    <w:rsid w:val="0050742C"/>
    <w:rsid w:val="005076A3"/>
    <w:rsid w:val="00507717"/>
    <w:rsid w:val="00511EF9"/>
    <w:rsid w:val="00512600"/>
    <w:rsid w:val="00512948"/>
    <w:rsid w:val="00512B02"/>
    <w:rsid w:val="00514CC0"/>
    <w:rsid w:val="005155C0"/>
    <w:rsid w:val="00516754"/>
    <w:rsid w:val="00516D1C"/>
    <w:rsid w:val="00517A23"/>
    <w:rsid w:val="00520815"/>
    <w:rsid w:val="00520BFC"/>
    <w:rsid w:val="00522BAA"/>
    <w:rsid w:val="00524564"/>
    <w:rsid w:val="0052524B"/>
    <w:rsid w:val="00525470"/>
    <w:rsid w:val="00525CD4"/>
    <w:rsid w:val="005273CF"/>
    <w:rsid w:val="0053352F"/>
    <w:rsid w:val="00534434"/>
    <w:rsid w:val="00534671"/>
    <w:rsid w:val="0053551E"/>
    <w:rsid w:val="00536712"/>
    <w:rsid w:val="00540B95"/>
    <w:rsid w:val="0054139C"/>
    <w:rsid w:val="005425B1"/>
    <w:rsid w:val="00542812"/>
    <w:rsid w:val="005502A4"/>
    <w:rsid w:val="0055065C"/>
    <w:rsid w:val="00550D5B"/>
    <w:rsid w:val="00551043"/>
    <w:rsid w:val="005511D6"/>
    <w:rsid w:val="00551561"/>
    <w:rsid w:val="00554CC0"/>
    <w:rsid w:val="00554CEE"/>
    <w:rsid w:val="00555F7D"/>
    <w:rsid w:val="00555F9C"/>
    <w:rsid w:val="005565C5"/>
    <w:rsid w:val="005603EE"/>
    <w:rsid w:val="005617ED"/>
    <w:rsid w:val="00562094"/>
    <w:rsid w:val="0056364C"/>
    <w:rsid w:val="00563DE2"/>
    <w:rsid w:val="0056625F"/>
    <w:rsid w:val="005668BD"/>
    <w:rsid w:val="00567552"/>
    <w:rsid w:val="00567B1B"/>
    <w:rsid w:val="00571F0B"/>
    <w:rsid w:val="0057397D"/>
    <w:rsid w:val="00573B13"/>
    <w:rsid w:val="005741CF"/>
    <w:rsid w:val="005742FD"/>
    <w:rsid w:val="00576A2D"/>
    <w:rsid w:val="00577CAE"/>
    <w:rsid w:val="00580685"/>
    <w:rsid w:val="00583070"/>
    <w:rsid w:val="005840A6"/>
    <w:rsid w:val="00584265"/>
    <w:rsid w:val="00585E54"/>
    <w:rsid w:val="0059019E"/>
    <w:rsid w:val="00590B07"/>
    <w:rsid w:val="00591A9E"/>
    <w:rsid w:val="0059203B"/>
    <w:rsid w:val="00592682"/>
    <w:rsid w:val="00592D17"/>
    <w:rsid w:val="00594663"/>
    <w:rsid w:val="00594B65"/>
    <w:rsid w:val="00595741"/>
    <w:rsid w:val="00595E82"/>
    <w:rsid w:val="005A0158"/>
    <w:rsid w:val="005A6054"/>
    <w:rsid w:val="005A62D8"/>
    <w:rsid w:val="005A6C19"/>
    <w:rsid w:val="005A762E"/>
    <w:rsid w:val="005A7B98"/>
    <w:rsid w:val="005B01DA"/>
    <w:rsid w:val="005B2F58"/>
    <w:rsid w:val="005B3AA8"/>
    <w:rsid w:val="005B4BFA"/>
    <w:rsid w:val="005B5130"/>
    <w:rsid w:val="005C147B"/>
    <w:rsid w:val="005C2DC0"/>
    <w:rsid w:val="005C3547"/>
    <w:rsid w:val="005C3929"/>
    <w:rsid w:val="005C39C3"/>
    <w:rsid w:val="005D1EC5"/>
    <w:rsid w:val="005D4C6E"/>
    <w:rsid w:val="005D6353"/>
    <w:rsid w:val="005D726D"/>
    <w:rsid w:val="005D7676"/>
    <w:rsid w:val="005E2CD5"/>
    <w:rsid w:val="005E4FB4"/>
    <w:rsid w:val="005F0408"/>
    <w:rsid w:val="005F3F6B"/>
    <w:rsid w:val="005F44EC"/>
    <w:rsid w:val="00601A55"/>
    <w:rsid w:val="006036A7"/>
    <w:rsid w:val="006043C6"/>
    <w:rsid w:val="00604C9C"/>
    <w:rsid w:val="00607195"/>
    <w:rsid w:val="00607F31"/>
    <w:rsid w:val="00612030"/>
    <w:rsid w:val="0061376A"/>
    <w:rsid w:val="0061396C"/>
    <w:rsid w:val="00616227"/>
    <w:rsid w:val="006171A1"/>
    <w:rsid w:val="00617BBB"/>
    <w:rsid w:val="0062003E"/>
    <w:rsid w:val="006203A5"/>
    <w:rsid w:val="00621D30"/>
    <w:rsid w:val="00622147"/>
    <w:rsid w:val="00623A50"/>
    <w:rsid w:val="00623C22"/>
    <w:rsid w:val="00623D18"/>
    <w:rsid w:val="006267BE"/>
    <w:rsid w:val="0063097C"/>
    <w:rsid w:val="0063185F"/>
    <w:rsid w:val="006348A2"/>
    <w:rsid w:val="00634B63"/>
    <w:rsid w:val="00635722"/>
    <w:rsid w:val="006366E5"/>
    <w:rsid w:val="006367AE"/>
    <w:rsid w:val="00636FEC"/>
    <w:rsid w:val="006371C1"/>
    <w:rsid w:val="00637928"/>
    <w:rsid w:val="00640F90"/>
    <w:rsid w:val="006428E8"/>
    <w:rsid w:val="006462AD"/>
    <w:rsid w:val="00646439"/>
    <w:rsid w:val="006535AA"/>
    <w:rsid w:val="00653A4E"/>
    <w:rsid w:val="00655735"/>
    <w:rsid w:val="00655932"/>
    <w:rsid w:val="006576DF"/>
    <w:rsid w:val="00661AC0"/>
    <w:rsid w:val="006620DE"/>
    <w:rsid w:val="006623D1"/>
    <w:rsid w:val="0066496B"/>
    <w:rsid w:val="00665F16"/>
    <w:rsid w:val="00666690"/>
    <w:rsid w:val="00666934"/>
    <w:rsid w:val="006675C1"/>
    <w:rsid w:val="006678B0"/>
    <w:rsid w:val="006752CC"/>
    <w:rsid w:val="0067741B"/>
    <w:rsid w:val="00677AB3"/>
    <w:rsid w:val="0068251B"/>
    <w:rsid w:val="00685CAE"/>
    <w:rsid w:val="00690106"/>
    <w:rsid w:val="0069089A"/>
    <w:rsid w:val="0069138F"/>
    <w:rsid w:val="006956F4"/>
    <w:rsid w:val="00697A7D"/>
    <w:rsid w:val="006A4772"/>
    <w:rsid w:val="006A7215"/>
    <w:rsid w:val="006B4844"/>
    <w:rsid w:val="006B5C98"/>
    <w:rsid w:val="006B6E5D"/>
    <w:rsid w:val="006C34A0"/>
    <w:rsid w:val="006C35A5"/>
    <w:rsid w:val="006C3D77"/>
    <w:rsid w:val="006C3EB9"/>
    <w:rsid w:val="006C4A5A"/>
    <w:rsid w:val="006C6334"/>
    <w:rsid w:val="006D025A"/>
    <w:rsid w:val="006D0F83"/>
    <w:rsid w:val="006D1851"/>
    <w:rsid w:val="006D22D1"/>
    <w:rsid w:val="006D2694"/>
    <w:rsid w:val="006D49A8"/>
    <w:rsid w:val="006D4B07"/>
    <w:rsid w:val="006D5CD0"/>
    <w:rsid w:val="006D5DE2"/>
    <w:rsid w:val="006E131F"/>
    <w:rsid w:val="006E2E47"/>
    <w:rsid w:val="006E3525"/>
    <w:rsid w:val="006E35A9"/>
    <w:rsid w:val="006E41F1"/>
    <w:rsid w:val="006F46B2"/>
    <w:rsid w:val="006F49DB"/>
    <w:rsid w:val="006F69E7"/>
    <w:rsid w:val="00700805"/>
    <w:rsid w:val="0070128B"/>
    <w:rsid w:val="00701521"/>
    <w:rsid w:val="0070186D"/>
    <w:rsid w:val="00705A00"/>
    <w:rsid w:val="00707284"/>
    <w:rsid w:val="00711EC7"/>
    <w:rsid w:val="0071495D"/>
    <w:rsid w:val="00715722"/>
    <w:rsid w:val="0071613F"/>
    <w:rsid w:val="00716570"/>
    <w:rsid w:val="007203B3"/>
    <w:rsid w:val="0072075F"/>
    <w:rsid w:val="00721D9D"/>
    <w:rsid w:val="00723EA1"/>
    <w:rsid w:val="0072530C"/>
    <w:rsid w:val="00726D51"/>
    <w:rsid w:val="00727976"/>
    <w:rsid w:val="00727CC2"/>
    <w:rsid w:val="007308BF"/>
    <w:rsid w:val="00735ADC"/>
    <w:rsid w:val="00737C41"/>
    <w:rsid w:val="0074208F"/>
    <w:rsid w:val="00742273"/>
    <w:rsid w:val="007427C3"/>
    <w:rsid w:val="00742CD7"/>
    <w:rsid w:val="0074382F"/>
    <w:rsid w:val="007446D8"/>
    <w:rsid w:val="007451C4"/>
    <w:rsid w:val="007500BC"/>
    <w:rsid w:val="0075270E"/>
    <w:rsid w:val="00754FB2"/>
    <w:rsid w:val="00756C6E"/>
    <w:rsid w:val="007601E0"/>
    <w:rsid w:val="00760892"/>
    <w:rsid w:val="00760928"/>
    <w:rsid w:val="007654ED"/>
    <w:rsid w:val="00765A8B"/>
    <w:rsid w:val="00766162"/>
    <w:rsid w:val="00767804"/>
    <w:rsid w:val="00771AFE"/>
    <w:rsid w:val="00771E22"/>
    <w:rsid w:val="00772945"/>
    <w:rsid w:val="00773269"/>
    <w:rsid w:val="00773623"/>
    <w:rsid w:val="00774357"/>
    <w:rsid w:val="00774E94"/>
    <w:rsid w:val="00775670"/>
    <w:rsid w:val="00781005"/>
    <w:rsid w:val="00783AD3"/>
    <w:rsid w:val="00784035"/>
    <w:rsid w:val="007842A8"/>
    <w:rsid w:val="007843FA"/>
    <w:rsid w:val="007872FE"/>
    <w:rsid w:val="007A0C0D"/>
    <w:rsid w:val="007A2184"/>
    <w:rsid w:val="007A289F"/>
    <w:rsid w:val="007A2A67"/>
    <w:rsid w:val="007A3262"/>
    <w:rsid w:val="007A3A52"/>
    <w:rsid w:val="007A59A1"/>
    <w:rsid w:val="007A6B4B"/>
    <w:rsid w:val="007B0721"/>
    <w:rsid w:val="007B0B39"/>
    <w:rsid w:val="007B0EC2"/>
    <w:rsid w:val="007B2784"/>
    <w:rsid w:val="007B2B60"/>
    <w:rsid w:val="007B625E"/>
    <w:rsid w:val="007B69AC"/>
    <w:rsid w:val="007C3B0D"/>
    <w:rsid w:val="007C5542"/>
    <w:rsid w:val="007C6202"/>
    <w:rsid w:val="007C7785"/>
    <w:rsid w:val="007D1D4F"/>
    <w:rsid w:val="007D40E2"/>
    <w:rsid w:val="007D40F8"/>
    <w:rsid w:val="007D4AA9"/>
    <w:rsid w:val="007D6DD0"/>
    <w:rsid w:val="007D6DFF"/>
    <w:rsid w:val="007E006B"/>
    <w:rsid w:val="007E04EE"/>
    <w:rsid w:val="007E3AE0"/>
    <w:rsid w:val="007E4517"/>
    <w:rsid w:val="007E7D1C"/>
    <w:rsid w:val="007F0DE2"/>
    <w:rsid w:val="007F36DB"/>
    <w:rsid w:val="007F586D"/>
    <w:rsid w:val="007F6508"/>
    <w:rsid w:val="007F68F7"/>
    <w:rsid w:val="00800221"/>
    <w:rsid w:val="00800767"/>
    <w:rsid w:val="008017D8"/>
    <w:rsid w:val="008021AA"/>
    <w:rsid w:val="008058EA"/>
    <w:rsid w:val="0080672F"/>
    <w:rsid w:val="008076B5"/>
    <w:rsid w:val="00810045"/>
    <w:rsid w:val="008103F1"/>
    <w:rsid w:val="00810933"/>
    <w:rsid w:val="00811B57"/>
    <w:rsid w:val="00814C99"/>
    <w:rsid w:val="00816D7D"/>
    <w:rsid w:val="00820856"/>
    <w:rsid w:val="00822EAA"/>
    <w:rsid w:val="008240D4"/>
    <w:rsid w:val="008242C3"/>
    <w:rsid w:val="00832686"/>
    <w:rsid w:val="008333DE"/>
    <w:rsid w:val="00834120"/>
    <w:rsid w:val="00834A9A"/>
    <w:rsid w:val="00835333"/>
    <w:rsid w:val="00836738"/>
    <w:rsid w:val="008369ED"/>
    <w:rsid w:val="00836E7F"/>
    <w:rsid w:val="00837783"/>
    <w:rsid w:val="00841832"/>
    <w:rsid w:val="00841906"/>
    <w:rsid w:val="008424BF"/>
    <w:rsid w:val="00842CD3"/>
    <w:rsid w:val="00844260"/>
    <w:rsid w:val="008522B5"/>
    <w:rsid w:val="00852A96"/>
    <w:rsid w:val="00852CF5"/>
    <w:rsid w:val="00852E38"/>
    <w:rsid w:val="00854BE6"/>
    <w:rsid w:val="00856153"/>
    <w:rsid w:val="00856A6B"/>
    <w:rsid w:val="0085713E"/>
    <w:rsid w:val="00861947"/>
    <w:rsid w:val="00861A4C"/>
    <w:rsid w:val="00862ED8"/>
    <w:rsid w:val="00864597"/>
    <w:rsid w:val="008649BE"/>
    <w:rsid w:val="00866505"/>
    <w:rsid w:val="00866F18"/>
    <w:rsid w:val="00870FBA"/>
    <w:rsid w:val="0087352B"/>
    <w:rsid w:val="00874968"/>
    <w:rsid w:val="0088021E"/>
    <w:rsid w:val="00880579"/>
    <w:rsid w:val="00882721"/>
    <w:rsid w:val="0088345C"/>
    <w:rsid w:val="00884166"/>
    <w:rsid w:val="00884A3F"/>
    <w:rsid w:val="008875EA"/>
    <w:rsid w:val="008923AC"/>
    <w:rsid w:val="00894EEA"/>
    <w:rsid w:val="008952DA"/>
    <w:rsid w:val="00895BD0"/>
    <w:rsid w:val="00896C52"/>
    <w:rsid w:val="00897B5D"/>
    <w:rsid w:val="008A2B07"/>
    <w:rsid w:val="008A3994"/>
    <w:rsid w:val="008A456E"/>
    <w:rsid w:val="008A5BB9"/>
    <w:rsid w:val="008A652D"/>
    <w:rsid w:val="008A6C90"/>
    <w:rsid w:val="008B53FB"/>
    <w:rsid w:val="008B5F40"/>
    <w:rsid w:val="008B6D9E"/>
    <w:rsid w:val="008C15D9"/>
    <w:rsid w:val="008C1F16"/>
    <w:rsid w:val="008C33C3"/>
    <w:rsid w:val="008C4388"/>
    <w:rsid w:val="008C45B7"/>
    <w:rsid w:val="008C5274"/>
    <w:rsid w:val="008C5562"/>
    <w:rsid w:val="008C769E"/>
    <w:rsid w:val="008C7C01"/>
    <w:rsid w:val="008D0615"/>
    <w:rsid w:val="008D1293"/>
    <w:rsid w:val="008D516A"/>
    <w:rsid w:val="008D6FAA"/>
    <w:rsid w:val="008D7B82"/>
    <w:rsid w:val="008E0718"/>
    <w:rsid w:val="008E3345"/>
    <w:rsid w:val="008E37B9"/>
    <w:rsid w:val="008E38AB"/>
    <w:rsid w:val="008E4E81"/>
    <w:rsid w:val="008E73CC"/>
    <w:rsid w:val="008F1EB0"/>
    <w:rsid w:val="008F536F"/>
    <w:rsid w:val="008F5BC5"/>
    <w:rsid w:val="008F75B2"/>
    <w:rsid w:val="008F7CEB"/>
    <w:rsid w:val="00900400"/>
    <w:rsid w:val="00900C04"/>
    <w:rsid w:val="00903280"/>
    <w:rsid w:val="0090370D"/>
    <w:rsid w:val="0090478E"/>
    <w:rsid w:val="00904835"/>
    <w:rsid w:val="009049EC"/>
    <w:rsid w:val="00912872"/>
    <w:rsid w:val="009130E2"/>
    <w:rsid w:val="009155D3"/>
    <w:rsid w:val="009159C0"/>
    <w:rsid w:val="00917596"/>
    <w:rsid w:val="00917927"/>
    <w:rsid w:val="00922320"/>
    <w:rsid w:val="009233F6"/>
    <w:rsid w:val="009257EC"/>
    <w:rsid w:val="00927AC6"/>
    <w:rsid w:val="00927F73"/>
    <w:rsid w:val="00930E0B"/>
    <w:rsid w:val="009316BD"/>
    <w:rsid w:val="009326E7"/>
    <w:rsid w:val="0093485B"/>
    <w:rsid w:val="009351FD"/>
    <w:rsid w:val="009357FF"/>
    <w:rsid w:val="00936664"/>
    <w:rsid w:val="00936E31"/>
    <w:rsid w:val="00937701"/>
    <w:rsid w:val="00940B90"/>
    <w:rsid w:val="00942EBC"/>
    <w:rsid w:val="009458AC"/>
    <w:rsid w:val="0094596E"/>
    <w:rsid w:val="00950BEB"/>
    <w:rsid w:val="00952CBB"/>
    <w:rsid w:val="00952DF8"/>
    <w:rsid w:val="0095310C"/>
    <w:rsid w:val="0095416B"/>
    <w:rsid w:val="00956AE0"/>
    <w:rsid w:val="00960FCB"/>
    <w:rsid w:val="009617E9"/>
    <w:rsid w:val="00962DFF"/>
    <w:rsid w:val="00963C2D"/>
    <w:rsid w:val="00965D43"/>
    <w:rsid w:val="0096625A"/>
    <w:rsid w:val="00966A75"/>
    <w:rsid w:val="00966C03"/>
    <w:rsid w:val="00971C58"/>
    <w:rsid w:val="00971FAB"/>
    <w:rsid w:val="0097290D"/>
    <w:rsid w:val="00973DB9"/>
    <w:rsid w:val="0098048E"/>
    <w:rsid w:val="00981643"/>
    <w:rsid w:val="00983958"/>
    <w:rsid w:val="009862F7"/>
    <w:rsid w:val="0098715A"/>
    <w:rsid w:val="009874C6"/>
    <w:rsid w:val="00987C6A"/>
    <w:rsid w:val="00991D63"/>
    <w:rsid w:val="00993A12"/>
    <w:rsid w:val="00993BDA"/>
    <w:rsid w:val="009940FC"/>
    <w:rsid w:val="009950DD"/>
    <w:rsid w:val="009A0820"/>
    <w:rsid w:val="009A13FE"/>
    <w:rsid w:val="009A1912"/>
    <w:rsid w:val="009A52B4"/>
    <w:rsid w:val="009A72C6"/>
    <w:rsid w:val="009B06D1"/>
    <w:rsid w:val="009B0ECF"/>
    <w:rsid w:val="009B19C5"/>
    <w:rsid w:val="009B285C"/>
    <w:rsid w:val="009B29AE"/>
    <w:rsid w:val="009B5430"/>
    <w:rsid w:val="009B645A"/>
    <w:rsid w:val="009C3407"/>
    <w:rsid w:val="009C5523"/>
    <w:rsid w:val="009D19F9"/>
    <w:rsid w:val="009D2893"/>
    <w:rsid w:val="009D35EC"/>
    <w:rsid w:val="009D435A"/>
    <w:rsid w:val="009D457D"/>
    <w:rsid w:val="009D5FA7"/>
    <w:rsid w:val="009D6B19"/>
    <w:rsid w:val="009D78B7"/>
    <w:rsid w:val="009E1AD2"/>
    <w:rsid w:val="009E338E"/>
    <w:rsid w:val="009E40B1"/>
    <w:rsid w:val="009E410E"/>
    <w:rsid w:val="009E4AE9"/>
    <w:rsid w:val="009E4C87"/>
    <w:rsid w:val="009E5BC8"/>
    <w:rsid w:val="009E6D80"/>
    <w:rsid w:val="009E72B3"/>
    <w:rsid w:val="009F2619"/>
    <w:rsid w:val="009F3335"/>
    <w:rsid w:val="009F4395"/>
    <w:rsid w:val="009F478B"/>
    <w:rsid w:val="00A01804"/>
    <w:rsid w:val="00A02C53"/>
    <w:rsid w:val="00A04664"/>
    <w:rsid w:val="00A0484B"/>
    <w:rsid w:val="00A04EE3"/>
    <w:rsid w:val="00A07C2A"/>
    <w:rsid w:val="00A20C8D"/>
    <w:rsid w:val="00A21576"/>
    <w:rsid w:val="00A234A5"/>
    <w:rsid w:val="00A23D42"/>
    <w:rsid w:val="00A23EE3"/>
    <w:rsid w:val="00A2458F"/>
    <w:rsid w:val="00A25DC1"/>
    <w:rsid w:val="00A27D30"/>
    <w:rsid w:val="00A30834"/>
    <w:rsid w:val="00A31113"/>
    <w:rsid w:val="00A32E8E"/>
    <w:rsid w:val="00A32E9C"/>
    <w:rsid w:val="00A33214"/>
    <w:rsid w:val="00A37E39"/>
    <w:rsid w:val="00A40C55"/>
    <w:rsid w:val="00A422DC"/>
    <w:rsid w:val="00A43731"/>
    <w:rsid w:val="00A4638E"/>
    <w:rsid w:val="00A500E9"/>
    <w:rsid w:val="00A50A99"/>
    <w:rsid w:val="00A50E11"/>
    <w:rsid w:val="00A52BE4"/>
    <w:rsid w:val="00A5313D"/>
    <w:rsid w:val="00A5647E"/>
    <w:rsid w:val="00A56EEB"/>
    <w:rsid w:val="00A6001B"/>
    <w:rsid w:val="00A60258"/>
    <w:rsid w:val="00A61E23"/>
    <w:rsid w:val="00A6360F"/>
    <w:rsid w:val="00A63A3A"/>
    <w:rsid w:val="00A6502C"/>
    <w:rsid w:val="00A70C85"/>
    <w:rsid w:val="00A726A0"/>
    <w:rsid w:val="00A72E47"/>
    <w:rsid w:val="00A72F1E"/>
    <w:rsid w:val="00A74522"/>
    <w:rsid w:val="00A76594"/>
    <w:rsid w:val="00A76E9B"/>
    <w:rsid w:val="00A7758F"/>
    <w:rsid w:val="00A8143D"/>
    <w:rsid w:val="00A81F8C"/>
    <w:rsid w:val="00A825A3"/>
    <w:rsid w:val="00A9056C"/>
    <w:rsid w:val="00A91754"/>
    <w:rsid w:val="00A937D9"/>
    <w:rsid w:val="00A947B7"/>
    <w:rsid w:val="00A94ECC"/>
    <w:rsid w:val="00A95633"/>
    <w:rsid w:val="00A96FCB"/>
    <w:rsid w:val="00AA319A"/>
    <w:rsid w:val="00AA4CB6"/>
    <w:rsid w:val="00AA549C"/>
    <w:rsid w:val="00AA6271"/>
    <w:rsid w:val="00AA6D87"/>
    <w:rsid w:val="00AB1FEF"/>
    <w:rsid w:val="00AB3140"/>
    <w:rsid w:val="00AB3CF4"/>
    <w:rsid w:val="00AB4251"/>
    <w:rsid w:val="00AB64F6"/>
    <w:rsid w:val="00AB7054"/>
    <w:rsid w:val="00AC1477"/>
    <w:rsid w:val="00AC6AFD"/>
    <w:rsid w:val="00AD299B"/>
    <w:rsid w:val="00AE1810"/>
    <w:rsid w:val="00AE2F26"/>
    <w:rsid w:val="00AE65C3"/>
    <w:rsid w:val="00AF13BF"/>
    <w:rsid w:val="00AF2FE9"/>
    <w:rsid w:val="00AF7A0D"/>
    <w:rsid w:val="00AF7F7A"/>
    <w:rsid w:val="00B0110B"/>
    <w:rsid w:val="00B03ED1"/>
    <w:rsid w:val="00B05733"/>
    <w:rsid w:val="00B10A68"/>
    <w:rsid w:val="00B13589"/>
    <w:rsid w:val="00B14FC5"/>
    <w:rsid w:val="00B15B8D"/>
    <w:rsid w:val="00B15F0C"/>
    <w:rsid w:val="00B17840"/>
    <w:rsid w:val="00B17FB8"/>
    <w:rsid w:val="00B213AF"/>
    <w:rsid w:val="00B23435"/>
    <w:rsid w:val="00B244E4"/>
    <w:rsid w:val="00B24F6C"/>
    <w:rsid w:val="00B3037F"/>
    <w:rsid w:val="00B30C7B"/>
    <w:rsid w:val="00B31D66"/>
    <w:rsid w:val="00B33DEE"/>
    <w:rsid w:val="00B342EB"/>
    <w:rsid w:val="00B35552"/>
    <w:rsid w:val="00B35B48"/>
    <w:rsid w:val="00B419C6"/>
    <w:rsid w:val="00B41C8F"/>
    <w:rsid w:val="00B426D1"/>
    <w:rsid w:val="00B44E06"/>
    <w:rsid w:val="00B45614"/>
    <w:rsid w:val="00B4776A"/>
    <w:rsid w:val="00B47A22"/>
    <w:rsid w:val="00B50344"/>
    <w:rsid w:val="00B50449"/>
    <w:rsid w:val="00B50944"/>
    <w:rsid w:val="00B51FF3"/>
    <w:rsid w:val="00B54A79"/>
    <w:rsid w:val="00B56351"/>
    <w:rsid w:val="00B56375"/>
    <w:rsid w:val="00B56539"/>
    <w:rsid w:val="00B57DAB"/>
    <w:rsid w:val="00B607C3"/>
    <w:rsid w:val="00B60E14"/>
    <w:rsid w:val="00B61364"/>
    <w:rsid w:val="00B631E9"/>
    <w:rsid w:val="00B6436F"/>
    <w:rsid w:val="00B64468"/>
    <w:rsid w:val="00B64B1D"/>
    <w:rsid w:val="00B65BD9"/>
    <w:rsid w:val="00B666EB"/>
    <w:rsid w:val="00B70D5E"/>
    <w:rsid w:val="00B71C29"/>
    <w:rsid w:val="00B7438F"/>
    <w:rsid w:val="00B7504B"/>
    <w:rsid w:val="00B753F7"/>
    <w:rsid w:val="00B756ED"/>
    <w:rsid w:val="00B77049"/>
    <w:rsid w:val="00B800CC"/>
    <w:rsid w:val="00B80781"/>
    <w:rsid w:val="00B815DB"/>
    <w:rsid w:val="00B81DE7"/>
    <w:rsid w:val="00B831C8"/>
    <w:rsid w:val="00B859B4"/>
    <w:rsid w:val="00B85B18"/>
    <w:rsid w:val="00B871A0"/>
    <w:rsid w:val="00B904FF"/>
    <w:rsid w:val="00B92AD8"/>
    <w:rsid w:val="00B9308D"/>
    <w:rsid w:val="00B959DC"/>
    <w:rsid w:val="00B9770F"/>
    <w:rsid w:val="00BA3DDA"/>
    <w:rsid w:val="00BA642F"/>
    <w:rsid w:val="00BA7D4F"/>
    <w:rsid w:val="00BB0571"/>
    <w:rsid w:val="00BB1E4D"/>
    <w:rsid w:val="00BB3C3A"/>
    <w:rsid w:val="00BB501E"/>
    <w:rsid w:val="00BB5365"/>
    <w:rsid w:val="00BB6B5F"/>
    <w:rsid w:val="00BC00E4"/>
    <w:rsid w:val="00BC0BFB"/>
    <w:rsid w:val="00BC1860"/>
    <w:rsid w:val="00BC4E0B"/>
    <w:rsid w:val="00BC54AA"/>
    <w:rsid w:val="00BD0B5B"/>
    <w:rsid w:val="00BD2DED"/>
    <w:rsid w:val="00BD3750"/>
    <w:rsid w:val="00BD4D25"/>
    <w:rsid w:val="00BD5D24"/>
    <w:rsid w:val="00BD6DEA"/>
    <w:rsid w:val="00BE1AC6"/>
    <w:rsid w:val="00BE28ED"/>
    <w:rsid w:val="00BE3121"/>
    <w:rsid w:val="00BE34D8"/>
    <w:rsid w:val="00BE3EA9"/>
    <w:rsid w:val="00BF0215"/>
    <w:rsid w:val="00BF2C33"/>
    <w:rsid w:val="00BF2DC1"/>
    <w:rsid w:val="00BF46D0"/>
    <w:rsid w:val="00BF549B"/>
    <w:rsid w:val="00C00223"/>
    <w:rsid w:val="00C02671"/>
    <w:rsid w:val="00C03D1B"/>
    <w:rsid w:val="00C04E93"/>
    <w:rsid w:val="00C05A12"/>
    <w:rsid w:val="00C0644E"/>
    <w:rsid w:val="00C06624"/>
    <w:rsid w:val="00C0736D"/>
    <w:rsid w:val="00C07380"/>
    <w:rsid w:val="00C1065D"/>
    <w:rsid w:val="00C10B53"/>
    <w:rsid w:val="00C12D92"/>
    <w:rsid w:val="00C141D0"/>
    <w:rsid w:val="00C157D1"/>
    <w:rsid w:val="00C22BC7"/>
    <w:rsid w:val="00C22F9E"/>
    <w:rsid w:val="00C2311C"/>
    <w:rsid w:val="00C23930"/>
    <w:rsid w:val="00C3102C"/>
    <w:rsid w:val="00C321FD"/>
    <w:rsid w:val="00C33648"/>
    <w:rsid w:val="00C33CFE"/>
    <w:rsid w:val="00C37E7B"/>
    <w:rsid w:val="00C40CC2"/>
    <w:rsid w:val="00C43B6B"/>
    <w:rsid w:val="00C472D0"/>
    <w:rsid w:val="00C4773F"/>
    <w:rsid w:val="00C50967"/>
    <w:rsid w:val="00C50AA8"/>
    <w:rsid w:val="00C57C11"/>
    <w:rsid w:val="00C603E8"/>
    <w:rsid w:val="00C60804"/>
    <w:rsid w:val="00C639BA"/>
    <w:rsid w:val="00C64D22"/>
    <w:rsid w:val="00C656F0"/>
    <w:rsid w:val="00C65EF7"/>
    <w:rsid w:val="00C7200A"/>
    <w:rsid w:val="00C73B2F"/>
    <w:rsid w:val="00C740E7"/>
    <w:rsid w:val="00C756E5"/>
    <w:rsid w:val="00C80741"/>
    <w:rsid w:val="00C83E9D"/>
    <w:rsid w:val="00C86451"/>
    <w:rsid w:val="00C8664A"/>
    <w:rsid w:val="00C86E9B"/>
    <w:rsid w:val="00C87BBE"/>
    <w:rsid w:val="00C9064A"/>
    <w:rsid w:val="00C9084E"/>
    <w:rsid w:val="00C91818"/>
    <w:rsid w:val="00C92959"/>
    <w:rsid w:val="00C92BB5"/>
    <w:rsid w:val="00C95AAA"/>
    <w:rsid w:val="00C95FF4"/>
    <w:rsid w:val="00C97137"/>
    <w:rsid w:val="00CA179B"/>
    <w:rsid w:val="00CA2888"/>
    <w:rsid w:val="00CA2BBE"/>
    <w:rsid w:val="00CA36F8"/>
    <w:rsid w:val="00CA3981"/>
    <w:rsid w:val="00CA5EE8"/>
    <w:rsid w:val="00CA61B6"/>
    <w:rsid w:val="00CB036F"/>
    <w:rsid w:val="00CB2E68"/>
    <w:rsid w:val="00CB332E"/>
    <w:rsid w:val="00CB3E66"/>
    <w:rsid w:val="00CB7217"/>
    <w:rsid w:val="00CC10A5"/>
    <w:rsid w:val="00CC2A7E"/>
    <w:rsid w:val="00CC2A97"/>
    <w:rsid w:val="00CC3CDE"/>
    <w:rsid w:val="00CC4B9B"/>
    <w:rsid w:val="00CC50B6"/>
    <w:rsid w:val="00CC5274"/>
    <w:rsid w:val="00CC5D56"/>
    <w:rsid w:val="00CC5DCE"/>
    <w:rsid w:val="00CC6956"/>
    <w:rsid w:val="00CD3786"/>
    <w:rsid w:val="00CD4AB6"/>
    <w:rsid w:val="00CD5B05"/>
    <w:rsid w:val="00CD7587"/>
    <w:rsid w:val="00CE2BC2"/>
    <w:rsid w:val="00CE724A"/>
    <w:rsid w:val="00CE76A9"/>
    <w:rsid w:val="00CF21CC"/>
    <w:rsid w:val="00CF4DFF"/>
    <w:rsid w:val="00D024CC"/>
    <w:rsid w:val="00D050E9"/>
    <w:rsid w:val="00D13A32"/>
    <w:rsid w:val="00D14E75"/>
    <w:rsid w:val="00D1502D"/>
    <w:rsid w:val="00D15268"/>
    <w:rsid w:val="00D1628C"/>
    <w:rsid w:val="00D172EC"/>
    <w:rsid w:val="00D1773D"/>
    <w:rsid w:val="00D24FD2"/>
    <w:rsid w:val="00D263B6"/>
    <w:rsid w:val="00D275FA"/>
    <w:rsid w:val="00D31D39"/>
    <w:rsid w:val="00D33573"/>
    <w:rsid w:val="00D36923"/>
    <w:rsid w:val="00D372FB"/>
    <w:rsid w:val="00D4093B"/>
    <w:rsid w:val="00D41882"/>
    <w:rsid w:val="00D435E8"/>
    <w:rsid w:val="00D43657"/>
    <w:rsid w:val="00D438C0"/>
    <w:rsid w:val="00D444D4"/>
    <w:rsid w:val="00D449B7"/>
    <w:rsid w:val="00D45585"/>
    <w:rsid w:val="00D5317E"/>
    <w:rsid w:val="00D60474"/>
    <w:rsid w:val="00D61828"/>
    <w:rsid w:val="00D61DAB"/>
    <w:rsid w:val="00D62296"/>
    <w:rsid w:val="00D62805"/>
    <w:rsid w:val="00D65557"/>
    <w:rsid w:val="00D67A05"/>
    <w:rsid w:val="00D720E0"/>
    <w:rsid w:val="00D735FF"/>
    <w:rsid w:val="00D73D9E"/>
    <w:rsid w:val="00D751BE"/>
    <w:rsid w:val="00D7779D"/>
    <w:rsid w:val="00D8388F"/>
    <w:rsid w:val="00D86F4C"/>
    <w:rsid w:val="00D90998"/>
    <w:rsid w:val="00D92CBC"/>
    <w:rsid w:val="00D933D9"/>
    <w:rsid w:val="00D938F3"/>
    <w:rsid w:val="00D950F6"/>
    <w:rsid w:val="00D9772B"/>
    <w:rsid w:val="00D97D99"/>
    <w:rsid w:val="00D97ED1"/>
    <w:rsid w:val="00DA3556"/>
    <w:rsid w:val="00DA3B90"/>
    <w:rsid w:val="00DA3D5B"/>
    <w:rsid w:val="00DA41E3"/>
    <w:rsid w:val="00DA4440"/>
    <w:rsid w:val="00DA4E03"/>
    <w:rsid w:val="00DA5AE1"/>
    <w:rsid w:val="00DA5E82"/>
    <w:rsid w:val="00DA7A7A"/>
    <w:rsid w:val="00DB0793"/>
    <w:rsid w:val="00DB4483"/>
    <w:rsid w:val="00DB5AA0"/>
    <w:rsid w:val="00DB641D"/>
    <w:rsid w:val="00DB72F9"/>
    <w:rsid w:val="00DC1881"/>
    <w:rsid w:val="00DC2FB7"/>
    <w:rsid w:val="00DC3E43"/>
    <w:rsid w:val="00DC61D1"/>
    <w:rsid w:val="00DC705C"/>
    <w:rsid w:val="00DD0655"/>
    <w:rsid w:val="00DD1E3F"/>
    <w:rsid w:val="00DD26D2"/>
    <w:rsid w:val="00DD3793"/>
    <w:rsid w:val="00DD3C8D"/>
    <w:rsid w:val="00DD4979"/>
    <w:rsid w:val="00DD4C0E"/>
    <w:rsid w:val="00DD4C28"/>
    <w:rsid w:val="00DD507C"/>
    <w:rsid w:val="00DD70B3"/>
    <w:rsid w:val="00DE19FA"/>
    <w:rsid w:val="00DE254C"/>
    <w:rsid w:val="00DE341C"/>
    <w:rsid w:val="00DE37E1"/>
    <w:rsid w:val="00DE4889"/>
    <w:rsid w:val="00DE6244"/>
    <w:rsid w:val="00DE6BAB"/>
    <w:rsid w:val="00DF192F"/>
    <w:rsid w:val="00DF39F7"/>
    <w:rsid w:val="00DF3B86"/>
    <w:rsid w:val="00DF4B6A"/>
    <w:rsid w:val="00DF5565"/>
    <w:rsid w:val="00DF64A6"/>
    <w:rsid w:val="00E00054"/>
    <w:rsid w:val="00E03F10"/>
    <w:rsid w:val="00E12744"/>
    <w:rsid w:val="00E131C0"/>
    <w:rsid w:val="00E17692"/>
    <w:rsid w:val="00E2135B"/>
    <w:rsid w:val="00E23C33"/>
    <w:rsid w:val="00E2407C"/>
    <w:rsid w:val="00E241A9"/>
    <w:rsid w:val="00E24EAA"/>
    <w:rsid w:val="00E26B0E"/>
    <w:rsid w:val="00E31E19"/>
    <w:rsid w:val="00E32CA6"/>
    <w:rsid w:val="00E344E8"/>
    <w:rsid w:val="00E35436"/>
    <w:rsid w:val="00E3578F"/>
    <w:rsid w:val="00E40405"/>
    <w:rsid w:val="00E42FA1"/>
    <w:rsid w:val="00E43342"/>
    <w:rsid w:val="00E4497E"/>
    <w:rsid w:val="00E44B10"/>
    <w:rsid w:val="00E46D76"/>
    <w:rsid w:val="00E474FC"/>
    <w:rsid w:val="00E47B0F"/>
    <w:rsid w:val="00E47F62"/>
    <w:rsid w:val="00E51045"/>
    <w:rsid w:val="00E5136A"/>
    <w:rsid w:val="00E52A27"/>
    <w:rsid w:val="00E557B3"/>
    <w:rsid w:val="00E56B36"/>
    <w:rsid w:val="00E57AC8"/>
    <w:rsid w:val="00E60281"/>
    <w:rsid w:val="00E61085"/>
    <w:rsid w:val="00E61363"/>
    <w:rsid w:val="00E6768D"/>
    <w:rsid w:val="00E67FEF"/>
    <w:rsid w:val="00E71976"/>
    <w:rsid w:val="00E747AC"/>
    <w:rsid w:val="00E75A5C"/>
    <w:rsid w:val="00E77092"/>
    <w:rsid w:val="00E773FC"/>
    <w:rsid w:val="00E774FB"/>
    <w:rsid w:val="00E80426"/>
    <w:rsid w:val="00E82E1D"/>
    <w:rsid w:val="00E82E52"/>
    <w:rsid w:val="00E8425C"/>
    <w:rsid w:val="00E84325"/>
    <w:rsid w:val="00E84446"/>
    <w:rsid w:val="00E86089"/>
    <w:rsid w:val="00E86C70"/>
    <w:rsid w:val="00E87A29"/>
    <w:rsid w:val="00E91E9B"/>
    <w:rsid w:val="00E9321A"/>
    <w:rsid w:val="00E9357E"/>
    <w:rsid w:val="00E947C3"/>
    <w:rsid w:val="00E94F51"/>
    <w:rsid w:val="00E9639F"/>
    <w:rsid w:val="00E97BDF"/>
    <w:rsid w:val="00EA1C14"/>
    <w:rsid w:val="00EA31FB"/>
    <w:rsid w:val="00EA45EB"/>
    <w:rsid w:val="00EA46AD"/>
    <w:rsid w:val="00EA474A"/>
    <w:rsid w:val="00EA58C9"/>
    <w:rsid w:val="00EA612B"/>
    <w:rsid w:val="00EA7F52"/>
    <w:rsid w:val="00EB089B"/>
    <w:rsid w:val="00EB26E1"/>
    <w:rsid w:val="00EB386C"/>
    <w:rsid w:val="00EB6676"/>
    <w:rsid w:val="00EC1DEF"/>
    <w:rsid w:val="00ED07E9"/>
    <w:rsid w:val="00ED3E9D"/>
    <w:rsid w:val="00ED5B45"/>
    <w:rsid w:val="00ED5E92"/>
    <w:rsid w:val="00ED64D5"/>
    <w:rsid w:val="00ED65E3"/>
    <w:rsid w:val="00ED6BD3"/>
    <w:rsid w:val="00ED6C63"/>
    <w:rsid w:val="00ED78FD"/>
    <w:rsid w:val="00EE0179"/>
    <w:rsid w:val="00EE07BF"/>
    <w:rsid w:val="00EE094A"/>
    <w:rsid w:val="00EE0B32"/>
    <w:rsid w:val="00EE29AC"/>
    <w:rsid w:val="00EE314F"/>
    <w:rsid w:val="00EE35C4"/>
    <w:rsid w:val="00EE3EC9"/>
    <w:rsid w:val="00EE4A27"/>
    <w:rsid w:val="00EE54AF"/>
    <w:rsid w:val="00EE5818"/>
    <w:rsid w:val="00EE5AD4"/>
    <w:rsid w:val="00EF0878"/>
    <w:rsid w:val="00EF2186"/>
    <w:rsid w:val="00EF2A14"/>
    <w:rsid w:val="00EF3BD8"/>
    <w:rsid w:val="00EF4FE7"/>
    <w:rsid w:val="00EF69CF"/>
    <w:rsid w:val="00EF6FDF"/>
    <w:rsid w:val="00F014D9"/>
    <w:rsid w:val="00F020E2"/>
    <w:rsid w:val="00F02C5A"/>
    <w:rsid w:val="00F0308F"/>
    <w:rsid w:val="00F0667E"/>
    <w:rsid w:val="00F067BE"/>
    <w:rsid w:val="00F06C79"/>
    <w:rsid w:val="00F102F9"/>
    <w:rsid w:val="00F12441"/>
    <w:rsid w:val="00F12F9F"/>
    <w:rsid w:val="00F14053"/>
    <w:rsid w:val="00F14433"/>
    <w:rsid w:val="00F144BD"/>
    <w:rsid w:val="00F151D9"/>
    <w:rsid w:val="00F15E05"/>
    <w:rsid w:val="00F1676F"/>
    <w:rsid w:val="00F16B66"/>
    <w:rsid w:val="00F17A59"/>
    <w:rsid w:val="00F21653"/>
    <w:rsid w:val="00F21E05"/>
    <w:rsid w:val="00F229D1"/>
    <w:rsid w:val="00F22CAD"/>
    <w:rsid w:val="00F25DC2"/>
    <w:rsid w:val="00F26924"/>
    <w:rsid w:val="00F27C41"/>
    <w:rsid w:val="00F311D1"/>
    <w:rsid w:val="00F32EF1"/>
    <w:rsid w:val="00F35DDD"/>
    <w:rsid w:val="00F37A60"/>
    <w:rsid w:val="00F408BA"/>
    <w:rsid w:val="00F409D3"/>
    <w:rsid w:val="00F4564E"/>
    <w:rsid w:val="00F46E90"/>
    <w:rsid w:val="00F46FC2"/>
    <w:rsid w:val="00F513F9"/>
    <w:rsid w:val="00F51432"/>
    <w:rsid w:val="00F515FC"/>
    <w:rsid w:val="00F51B9A"/>
    <w:rsid w:val="00F51F3B"/>
    <w:rsid w:val="00F53741"/>
    <w:rsid w:val="00F55199"/>
    <w:rsid w:val="00F620DC"/>
    <w:rsid w:val="00F65C11"/>
    <w:rsid w:val="00F71BE1"/>
    <w:rsid w:val="00F73F29"/>
    <w:rsid w:val="00F7546B"/>
    <w:rsid w:val="00F820D8"/>
    <w:rsid w:val="00F83532"/>
    <w:rsid w:val="00F84CD8"/>
    <w:rsid w:val="00F852C0"/>
    <w:rsid w:val="00F86D5C"/>
    <w:rsid w:val="00F9093E"/>
    <w:rsid w:val="00F91320"/>
    <w:rsid w:val="00F9186B"/>
    <w:rsid w:val="00F94226"/>
    <w:rsid w:val="00F95CAA"/>
    <w:rsid w:val="00F95FD4"/>
    <w:rsid w:val="00F9653B"/>
    <w:rsid w:val="00F96B76"/>
    <w:rsid w:val="00F96F9E"/>
    <w:rsid w:val="00F97904"/>
    <w:rsid w:val="00FA160D"/>
    <w:rsid w:val="00FA738A"/>
    <w:rsid w:val="00FB0049"/>
    <w:rsid w:val="00FB2161"/>
    <w:rsid w:val="00FB2427"/>
    <w:rsid w:val="00FB3A72"/>
    <w:rsid w:val="00FB4363"/>
    <w:rsid w:val="00FB4937"/>
    <w:rsid w:val="00FB5245"/>
    <w:rsid w:val="00FB5EDC"/>
    <w:rsid w:val="00FC0861"/>
    <w:rsid w:val="00FC1FB5"/>
    <w:rsid w:val="00FC2177"/>
    <w:rsid w:val="00FC2C99"/>
    <w:rsid w:val="00FC3BE0"/>
    <w:rsid w:val="00FC6BB6"/>
    <w:rsid w:val="00FD05BC"/>
    <w:rsid w:val="00FD2E2C"/>
    <w:rsid w:val="00FD4849"/>
    <w:rsid w:val="00FD5AFC"/>
    <w:rsid w:val="00FE02B6"/>
    <w:rsid w:val="00FE241E"/>
    <w:rsid w:val="00FE311C"/>
    <w:rsid w:val="00FE3393"/>
    <w:rsid w:val="00FE55C6"/>
    <w:rsid w:val="00FF34BE"/>
    <w:rsid w:val="00FF3E3C"/>
    <w:rsid w:val="00FF3E7D"/>
    <w:rsid w:val="00FF537A"/>
    <w:rsid w:val="00FF5821"/>
    <w:rsid w:val="00FF5F6D"/>
    <w:rsid w:val="00FF694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302"/>
  </w:style>
  <w:style w:type="paragraph" w:styleId="Heading2">
    <w:name w:val="heading 2"/>
    <w:basedOn w:val="Normal"/>
    <w:link w:val="Heading2Char"/>
    <w:uiPriority w:val="9"/>
    <w:qFormat/>
    <w:rsid w:val="006E35A9"/>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6E35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35A9"/>
    <w:rPr>
      <w:rFonts w:ascii="Times New Roman" w:eastAsia="Times New Roman" w:hAnsi="Times New Roman" w:cs="Times New Roman"/>
      <w:b/>
      <w:bCs/>
      <w:sz w:val="36"/>
      <w:szCs w:val="36"/>
      <w:lang w:eastAsia="en-IN"/>
    </w:rPr>
  </w:style>
  <w:style w:type="character" w:styleId="Strong">
    <w:name w:val="Strong"/>
    <w:basedOn w:val="DefaultParagraphFont"/>
    <w:uiPriority w:val="22"/>
    <w:qFormat/>
    <w:rsid w:val="006E35A9"/>
    <w:rPr>
      <w:b/>
      <w:bCs/>
    </w:rPr>
  </w:style>
  <w:style w:type="paragraph" w:styleId="NormalWeb">
    <w:name w:val="Normal (Web)"/>
    <w:basedOn w:val="Normal"/>
    <w:uiPriority w:val="99"/>
    <w:semiHidden/>
    <w:unhideWhenUsed/>
    <w:rsid w:val="006E35A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6E35A9"/>
    <w:rPr>
      <w:color w:val="0000FF"/>
      <w:u w:val="single"/>
    </w:rPr>
  </w:style>
  <w:style w:type="character" w:customStyle="1" w:styleId="Heading3Char">
    <w:name w:val="Heading 3 Char"/>
    <w:basedOn w:val="DefaultParagraphFont"/>
    <w:link w:val="Heading3"/>
    <w:uiPriority w:val="9"/>
    <w:semiHidden/>
    <w:rsid w:val="006E35A9"/>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6E35A9"/>
  </w:style>
  <w:style w:type="character" w:customStyle="1" w:styleId="mw-editsection">
    <w:name w:val="mw-editsection"/>
    <w:basedOn w:val="DefaultParagraphFont"/>
    <w:rsid w:val="006E35A9"/>
  </w:style>
  <w:style w:type="character" w:customStyle="1" w:styleId="mw-editsection-bracket">
    <w:name w:val="mw-editsection-bracket"/>
    <w:basedOn w:val="DefaultParagraphFont"/>
    <w:rsid w:val="006E35A9"/>
  </w:style>
</w:styles>
</file>

<file path=word/webSettings.xml><?xml version="1.0" encoding="utf-8"?>
<w:webSettings xmlns:r="http://schemas.openxmlformats.org/officeDocument/2006/relationships" xmlns:w="http://schemas.openxmlformats.org/wordprocessingml/2006/main">
  <w:divs>
    <w:div w:id="116417129">
      <w:bodyDiv w:val="1"/>
      <w:marLeft w:val="0"/>
      <w:marRight w:val="0"/>
      <w:marTop w:val="0"/>
      <w:marBottom w:val="0"/>
      <w:divBdr>
        <w:top w:val="none" w:sz="0" w:space="0" w:color="auto"/>
        <w:left w:val="none" w:sz="0" w:space="0" w:color="auto"/>
        <w:bottom w:val="none" w:sz="0" w:space="0" w:color="auto"/>
        <w:right w:val="none" w:sz="0" w:space="0" w:color="auto"/>
      </w:divBdr>
    </w:div>
    <w:div w:id="130439775">
      <w:bodyDiv w:val="1"/>
      <w:marLeft w:val="0"/>
      <w:marRight w:val="0"/>
      <w:marTop w:val="0"/>
      <w:marBottom w:val="0"/>
      <w:divBdr>
        <w:top w:val="none" w:sz="0" w:space="0" w:color="auto"/>
        <w:left w:val="none" w:sz="0" w:space="0" w:color="auto"/>
        <w:bottom w:val="none" w:sz="0" w:space="0" w:color="auto"/>
        <w:right w:val="none" w:sz="0" w:space="0" w:color="auto"/>
      </w:divBdr>
    </w:div>
    <w:div w:id="649217103">
      <w:bodyDiv w:val="1"/>
      <w:marLeft w:val="0"/>
      <w:marRight w:val="0"/>
      <w:marTop w:val="0"/>
      <w:marBottom w:val="0"/>
      <w:divBdr>
        <w:top w:val="none" w:sz="0" w:space="0" w:color="auto"/>
        <w:left w:val="none" w:sz="0" w:space="0" w:color="auto"/>
        <w:bottom w:val="none" w:sz="0" w:space="0" w:color="auto"/>
        <w:right w:val="none" w:sz="0" w:space="0" w:color="auto"/>
      </w:divBdr>
    </w:div>
    <w:div w:id="1142967616">
      <w:bodyDiv w:val="1"/>
      <w:marLeft w:val="0"/>
      <w:marRight w:val="0"/>
      <w:marTop w:val="0"/>
      <w:marBottom w:val="0"/>
      <w:divBdr>
        <w:top w:val="none" w:sz="0" w:space="0" w:color="auto"/>
        <w:left w:val="none" w:sz="0" w:space="0" w:color="auto"/>
        <w:bottom w:val="none" w:sz="0" w:space="0" w:color="auto"/>
        <w:right w:val="none" w:sz="0" w:space="0" w:color="auto"/>
      </w:divBdr>
    </w:div>
    <w:div w:id="1790931448">
      <w:bodyDiv w:val="1"/>
      <w:marLeft w:val="0"/>
      <w:marRight w:val="0"/>
      <w:marTop w:val="0"/>
      <w:marBottom w:val="0"/>
      <w:divBdr>
        <w:top w:val="none" w:sz="0" w:space="0" w:color="auto"/>
        <w:left w:val="none" w:sz="0" w:space="0" w:color="auto"/>
        <w:bottom w:val="none" w:sz="0" w:space="0" w:color="auto"/>
        <w:right w:val="none" w:sz="0" w:space="0" w:color="auto"/>
      </w:divBdr>
    </w:div>
    <w:div w:id="1829130692">
      <w:bodyDiv w:val="1"/>
      <w:marLeft w:val="0"/>
      <w:marRight w:val="0"/>
      <w:marTop w:val="0"/>
      <w:marBottom w:val="0"/>
      <w:divBdr>
        <w:top w:val="none" w:sz="0" w:space="0" w:color="auto"/>
        <w:left w:val="none" w:sz="0" w:space="0" w:color="auto"/>
        <w:bottom w:val="none" w:sz="0" w:space="0" w:color="auto"/>
        <w:right w:val="none" w:sz="0" w:space="0" w:color="auto"/>
      </w:divBdr>
    </w:div>
    <w:div w:id="213038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ndian_High_Courts_Act_1861" TargetMode="External"/><Relationship Id="rId3" Type="http://schemas.openxmlformats.org/officeDocument/2006/relationships/settings" Target="settings.xml"/><Relationship Id="rId7" Type="http://schemas.openxmlformats.org/officeDocument/2006/relationships/hyperlink" Target="https://en.wikipedia.org/wiki/Indian_High_Courts_Act_186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British_Raj" TargetMode="External"/><Relationship Id="rId11" Type="http://schemas.openxmlformats.org/officeDocument/2006/relationships/fontTable" Target="fontTable.xml"/><Relationship Id="rId5" Type="http://schemas.openxmlformats.org/officeDocument/2006/relationships/hyperlink" Target="https://en.wikipedia.org/wiki/Act_of_Parliament_(UK)" TargetMode="External"/><Relationship Id="rId10" Type="http://schemas.openxmlformats.org/officeDocument/2006/relationships/hyperlink" Target="https://en.wikipedia.org/wiki/Indian_High_Courts_Act_1861" TargetMode="External"/><Relationship Id="rId4" Type="http://schemas.openxmlformats.org/officeDocument/2006/relationships/webSettings" Target="webSettings.xml"/><Relationship Id="rId9" Type="http://schemas.openxmlformats.org/officeDocument/2006/relationships/hyperlink" Target="https://en.wikipedia.org/wiki/Letters_pat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496</Words>
  <Characters>2828</Characters>
  <Application>Microsoft Office Word</Application>
  <DocSecurity>0</DocSecurity>
  <Lines>23</Lines>
  <Paragraphs>6</Paragraphs>
  <ScaleCrop>false</ScaleCrop>
  <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2020-12-20T09:34:00Z</dcterms:created>
  <dcterms:modified xsi:type="dcterms:W3CDTF">2020-12-20T09:43:00Z</dcterms:modified>
</cp:coreProperties>
</file>