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03" w:rsidRPr="000F5FE8" w:rsidRDefault="00595203" w:rsidP="00595203">
      <w:pPr>
        <w:jc w:val="center"/>
        <w:rPr>
          <w:rFonts w:cstheme="minorHAnsi"/>
          <w:b/>
          <w:sz w:val="32"/>
          <w:szCs w:val="32"/>
        </w:rPr>
      </w:pPr>
      <w:r w:rsidRPr="000F5FE8">
        <w:rPr>
          <w:rFonts w:cstheme="minorHAnsi"/>
          <w:b/>
          <w:sz w:val="32"/>
          <w:szCs w:val="32"/>
        </w:rPr>
        <w:t>THE DEVELOPMENT OF CRIMINAL LAW IN INDIA (1770-1860)</w:t>
      </w:r>
    </w:p>
    <w:p w:rsidR="00595203" w:rsidRPr="000F5FE8"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sidRPr="000F5FE8">
        <w:rPr>
          <w:rFonts w:cstheme="minorHAnsi"/>
          <w:b/>
          <w:sz w:val="26"/>
          <w:szCs w:val="26"/>
        </w:rPr>
        <w:t>Reforms of Lord Bentinck</w:t>
      </w:r>
    </w:p>
    <w:p w:rsidR="00595203" w:rsidRPr="000F5FE8" w:rsidRDefault="00595203" w:rsidP="00595203">
      <w:pPr>
        <w:jc w:val="both"/>
        <w:rPr>
          <w:rFonts w:cstheme="minorHAnsi"/>
          <w:sz w:val="26"/>
          <w:szCs w:val="26"/>
        </w:rPr>
      </w:pPr>
      <w:r w:rsidRPr="000F5FE8">
        <w:rPr>
          <w:rFonts w:cstheme="minorHAnsi"/>
          <w:sz w:val="26"/>
          <w:szCs w:val="26"/>
        </w:rPr>
        <w:t>Lord William Bentinck as Governor-General from 1828 to 1835 showed keen interest in improving the machinery of the administration of justice and introduced several reforms of great importance. He reorganized and consolidated the whole system of civil and criminal courts. He abolished the Courts of Circuit and in their place appointed Commissioners of Revenue and Circuit to control the working of the magistracy, police, Collectors and other revenue officers.</w:t>
      </w:r>
    </w:p>
    <w:p w:rsidR="00595203" w:rsidRPr="000F5FE8" w:rsidRDefault="00595203" w:rsidP="00595203">
      <w:pPr>
        <w:jc w:val="both"/>
        <w:rPr>
          <w:rFonts w:cstheme="minorHAnsi"/>
          <w:sz w:val="26"/>
          <w:szCs w:val="26"/>
        </w:rPr>
      </w:pPr>
      <w:r w:rsidRPr="000F5FE8">
        <w:rPr>
          <w:rFonts w:cstheme="minorHAnsi"/>
          <w:sz w:val="26"/>
          <w:szCs w:val="26"/>
        </w:rPr>
        <w:t>Because of the combination of three functions in the Commissioners, viz., revenue, police and judicial power to try criminal cases, the work load on them became too heavy. In order to reduce the burden of the Commissioners, in 1831, Sessions Judges were appointed to try cases committed to them by the Magistrates. This became the origin of the district and sessions court.</w:t>
      </w:r>
    </w:p>
    <w:p w:rsidR="00595203" w:rsidRPr="000F5FE8"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Pr>
          <w:rFonts w:cstheme="minorHAnsi"/>
          <w:b/>
          <w:sz w:val="26"/>
          <w:szCs w:val="26"/>
        </w:rPr>
        <w:t xml:space="preserve">Development of the </w:t>
      </w:r>
      <w:r w:rsidRPr="000F5FE8">
        <w:rPr>
          <w:rFonts w:cstheme="minorHAnsi"/>
          <w:b/>
          <w:sz w:val="26"/>
          <w:szCs w:val="26"/>
        </w:rPr>
        <w:t>Law Commissions</w:t>
      </w:r>
    </w:p>
    <w:p w:rsidR="00595203" w:rsidRPr="000F5FE8" w:rsidRDefault="00595203" w:rsidP="00595203">
      <w:pPr>
        <w:jc w:val="both"/>
        <w:rPr>
          <w:rFonts w:cstheme="minorHAnsi"/>
          <w:sz w:val="26"/>
          <w:szCs w:val="26"/>
        </w:rPr>
      </w:pPr>
      <w:r w:rsidRPr="000F5FE8">
        <w:rPr>
          <w:rFonts w:cstheme="minorHAnsi"/>
          <w:sz w:val="26"/>
          <w:szCs w:val="26"/>
        </w:rPr>
        <w:t>As per the provisions of the Charter Act of 1833, the First Law Commission was appointed in 1835. The Commission was required to inquire fully into the</w:t>
      </w:r>
      <w:r>
        <w:rPr>
          <w:rFonts w:cstheme="minorHAnsi"/>
          <w:sz w:val="26"/>
          <w:szCs w:val="26"/>
        </w:rPr>
        <w:t xml:space="preserve"> </w:t>
      </w:r>
      <w:r w:rsidRPr="000F5FE8">
        <w:rPr>
          <w:rFonts w:cstheme="minorHAnsi"/>
          <w:sz w:val="26"/>
          <w:szCs w:val="26"/>
        </w:rPr>
        <w:t>jurisdiction, powers and rules of existing Courts and all existing judicial procedure and into the nature and operation of all laws in force in the British territories.</w:t>
      </w:r>
    </w:p>
    <w:p w:rsidR="00595203" w:rsidRPr="000F5FE8" w:rsidRDefault="00595203" w:rsidP="00595203">
      <w:pPr>
        <w:jc w:val="both"/>
        <w:rPr>
          <w:rFonts w:cstheme="minorHAnsi"/>
          <w:sz w:val="26"/>
          <w:szCs w:val="26"/>
        </w:rPr>
      </w:pPr>
      <w:r w:rsidRPr="000F5FE8">
        <w:rPr>
          <w:rFonts w:cstheme="minorHAnsi"/>
          <w:sz w:val="26"/>
          <w:szCs w:val="26"/>
        </w:rPr>
        <w:t>Macaulay, who was a barrister and a member of the House of Commons in England, was appointed as the Chairman of the First Law Commission. The most significant contribution of the First Law Commission was the preparation of draft Indian Penal Code for purposes of codification of penal laws in India.</w:t>
      </w:r>
    </w:p>
    <w:p w:rsidR="00595203" w:rsidRPr="000F5FE8" w:rsidRDefault="00595203" w:rsidP="00595203">
      <w:pPr>
        <w:jc w:val="both"/>
        <w:rPr>
          <w:rFonts w:cstheme="minorHAnsi"/>
          <w:sz w:val="26"/>
          <w:szCs w:val="26"/>
        </w:rPr>
      </w:pPr>
      <w:r w:rsidRPr="000F5FE8">
        <w:rPr>
          <w:rFonts w:cstheme="minorHAnsi"/>
          <w:sz w:val="26"/>
          <w:szCs w:val="26"/>
        </w:rPr>
        <w:t>The Second Law Commission was appointed in 1853 and the term of the Commission was fixed at three years. The Commission inter alia recommended that a body of substantive law as applicable to whole of India was necessary; such a uniform law should be prepared taking English law as the basis; exception may have to be carved out in favour of certain classes; and law should apply to one and all except those who are saved by the provisions.</w:t>
      </w:r>
    </w:p>
    <w:p w:rsidR="00595203" w:rsidRPr="000F5FE8" w:rsidRDefault="00595203" w:rsidP="00595203">
      <w:pPr>
        <w:jc w:val="both"/>
        <w:rPr>
          <w:rFonts w:cstheme="minorHAnsi"/>
          <w:sz w:val="26"/>
          <w:szCs w:val="26"/>
        </w:rPr>
      </w:pPr>
      <w:r w:rsidRPr="000F5FE8">
        <w:rPr>
          <w:rFonts w:cstheme="minorHAnsi"/>
          <w:sz w:val="26"/>
          <w:szCs w:val="26"/>
        </w:rPr>
        <w:t xml:space="preserve">Subsequently, the Third Law Commission and the Fourth Law Commission were appointed in 1861 and 1879 respectively. These Commissions also recommended the </w:t>
      </w:r>
      <w:r w:rsidRPr="000F5FE8">
        <w:rPr>
          <w:rFonts w:cstheme="minorHAnsi"/>
          <w:sz w:val="26"/>
          <w:szCs w:val="26"/>
        </w:rPr>
        <w:lastRenderedPageBreak/>
        <w:t>codification of laws in different spheres in India and accordingly a large number of Acts were passed including the Indian Evidence Act, 1872.</w:t>
      </w:r>
    </w:p>
    <w:p w:rsidR="00595203" w:rsidRPr="000F5FE8" w:rsidRDefault="00595203" w:rsidP="00595203">
      <w:pPr>
        <w:jc w:val="both"/>
        <w:rPr>
          <w:rFonts w:cstheme="minorHAnsi"/>
          <w:sz w:val="26"/>
          <w:szCs w:val="26"/>
        </w:rPr>
      </w:pPr>
      <w:r w:rsidRPr="000F5FE8">
        <w:rPr>
          <w:rFonts w:cstheme="minorHAnsi"/>
          <w:sz w:val="26"/>
          <w:szCs w:val="26"/>
        </w:rPr>
        <w:t xml:space="preserve">The labour of these Commissions, which consisted of eminent English jurists, spread over half a century, gave to India a system of Codes dealing with important parts of substantive and procedural civil and criminal law. The Commissions became powerful instruments which injected English common and statute law and equitable principles into the expanding structure of Indian jurisprudence </w:t>
      </w:r>
      <w:proofErr w:type="gramStart"/>
      <w:r w:rsidRPr="000F5FE8">
        <w:rPr>
          <w:rFonts w:cstheme="minorHAnsi"/>
          <w:sz w:val="26"/>
          <w:szCs w:val="26"/>
        </w:rPr>
        <w:t>The</w:t>
      </w:r>
      <w:proofErr w:type="gramEnd"/>
      <w:r w:rsidRPr="000F5FE8">
        <w:rPr>
          <w:rFonts w:cstheme="minorHAnsi"/>
          <w:sz w:val="26"/>
          <w:szCs w:val="26"/>
        </w:rPr>
        <w:t xml:space="preserve"> practice of appointing Law Commissions to study the prevailing law and procedures is still followed in India.</w:t>
      </w:r>
    </w:p>
    <w:p w:rsidR="00595203" w:rsidRPr="000F5FE8"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sidRPr="000F5FE8">
        <w:rPr>
          <w:rFonts w:cstheme="minorHAnsi"/>
          <w:b/>
          <w:sz w:val="26"/>
          <w:szCs w:val="26"/>
        </w:rPr>
        <w:t>Codification of Law</w:t>
      </w:r>
    </w:p>
    <w:p w:rsidR="00595203" w:rsidRDefault="00595203" w:rsidP="00595203">
      <w:pPr>
        <w:jc w:val="both"/>
        <w:rPr>
          <w:rFonts w:cstheme="minorHAnsi"/>
          <w:sz w:val="26"/>
          <w:szCs w:val="26"/>
        </w:rPr>
      </w:pPr>
      <w:r w:rsidRPr="000F5FE8">
        <w:rPr>
          <w:rFonts w:cstheme="minorHAnsi"/>
          <w:sz w:val="26"/>
          <w:szCs w:val="26"/>
        </w:rPr>
        <w:t>The Draft Penal Code, which was drafted and submitted to the Governor General in 1837, was revised and enacted into law in 1860 by Indian Legislature. The Indian Penal Code based on English principles wholly superseded the Mohammedan criminal law. A general Code of Criminal Procedure followed in 1861 and the process of superseding native by European law, so far as criminal justice is concerned, was completed by the enactment of Evidence Act of 1872.</w:t>
      </w:r>
    </w:p>
    <w:p w:rsidR="00595203" w:rsidRPr="000F5FE8"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sidRPr="000F5FE8">
        <w:rPr>
          <w:rFonts w:cstheme="minorHAnsi"/>
          <w:b/>
          <w:sz w:val="26"/>
          <w:szCs w:val="26"/>
        </w:rPr>
        <w:t>Organizing the Police</w:t>
      </w:r>
    </w:p>
    <w:p w:rsidR="00595203" w:rsidRPr="000F5FE8" w:rsidRDefault="00595203" w:rsidP="00595203">
      <w:pPr>
        <w:jc w:val="both"/>
        <w:rPr>
          <w:rFonts w:cstheme="minorHAnsi"/>
          <w:sz w:val="26"/>
          <w:szCs w:val="26"/>
        </w:rPr>
      </w:pPr>
      <w:r w:rsidRPr="000F5FE8">
        <w:rPr>
          <w:rFonts w:cstheme="minorHAnsi"/>
          <w:sz w:val="26"/>
          <w:szCs w:val="26"/>
        </w:rPr>
        <w:t xml:space="preserve">Lord Cornwallis was the first British administrator who tried to improve the police system. He appointed a Superintendent of Police for Calcutta in 1791 and thereafter, extended his efforts to the </w:t>
      </w:r>
      <w:proofErr w:type="spellStart"/>
      <w:r w:rsidRPr="000F5FE8">
        <w:rPr>
          <w:rFonts w:cstheme="minorHAnsi"/>
          <w:sz w:val="26"/>
          <w:szCs w:val="26"/>
        </w:rPr>
        <w:t>mofussil</w:t>
      </w:r>
      <w:proofErr w:type="spellEnd"/>
      <w:r w:rsidRPr="000F5FE8">
        <w:rPr>
          <w:rFonts w:cstheme="minorHAnsi"/>
          <w:sz w:val="26"/>
          <w:szCs w:val="26"/>
        </w:rPr>
        <w:t xml:space="preserve">. Cornwallis took police powers out of the hands of the </w:t>
      </w:r>
      <w:proofErr w:type="spellStart"/>
      <w:r w:rsidRPr="000F5FE8">
        <w:rPr>
          <w:rFonts w:cstheme="minorHAnsi"/>
          <w:sz w:val="26"/>
          <w:szCs w:val="26"/>
        </w:rPr>
        <w:t>zamindars</w:t>
      </w:r>
      <w:proofErr w:type="spellEnd"/>
      <w:r w:rsidRPr="000F5FE8">
        <w:rPr>
          <w:rFonts w:cstheme="minorHAnsi"/>
          <w:sz w:val="26"/>
          <w:szCs w:val="26"/>
        </w:rPr>
        <w:t xml:space="preserve"> of Bengal, Bihar and Orissa, and ordered, in 1793, the District Judge to open a police station for every four hundred square miles and to place a regular police station officer over it. He was known as the </w:t>
      </w:r>
      <w:proofErr w:type="spellStart"/>
      <w:r w:rsidRPr="000F5FE8">
        <w:rPr>
          <w:rFonts w:cstheme="minorHAnsi"/>
          <w:sz w:val="26"/>
          <w:szCs w:val="26"/>
        </w:rPr>
        <w:t>Daroga</w:t>
      </w:r>
      <w:proofErr w:type="spellEnd"/>
      <w:r w:rsidRPr="000F5FE8">
        <w:rPr>
          <w:rFonts w:cstheme="minorHAnsi"/>
          <w:sz w:val="26"/>
          <w:szCs w:val="26"/>
        </w:rPr>
        <w:t xml:space="preserve">. The </w:t>
      </w:r>
      <w:proofErr w:type="spellStart"/>
      <w:r w:rsidRPr="000F5FE8">
        <w:rPr>
          <w:rFonts w:cstheme="minorHAnsi"/>
          <w:sz w:val="26"/>
          <w:szCs w:val="26"/>
        </w:rPr>
        <w:t>Kotwal</w:t>
      </w:r>
      <w:proofErr w:type="spellEnd"/>
      <w:r w:rsidRPr="000F5FE8">
        <w:rPr>
          <w:rFonts w:cstheme="minorHAnsi"/>
          <w:sz w:val="26"/>
          <w:szCs w:val="26"/>
        </w:rPr>
        <w:t xml:space="preserve"> continued to be in charge of the police in the town. The revolt of 1857 drew the attention of the Government of India to the urgency of police reorganization.</w:t>
      </w:r>
    </w:p>
    <w:p w:rsidR="00595203" w:rsidRPr="000F5FE8" w:rsidRDefault="00595203" w:rsidP="00595203">
      <w:pPr>
        <w:jc w:val="both"/>
        <w:rPr>
          <w:rFonts w:cstheme="minorHAnsi"/>
          <w:sz w:val="26"/>
          <w:szCs w:val="26"/>
        </w:rPr>
      </w:pPr>
      <w:r w:rsidRPr="000F5FE8">
        <w:rPr>
          <w:rFonts w:cstheme="minorHAnsi"/>
          <w:sz w:val="26"/>
          <w:szCs w:val="26"/>
        </w:rPr>
        <w:t>Accordingly, a commission was appointed in 1860 to study exhaustively the police needs of the government. Its main recommendations were embodied in the Indian Police Act of 1861. The aims of the Act as enshrined in the Act itself were to re-organize the police and to make it a more efficient instrument for the prevention and detection of crime. This Act is still in force in India without any significant change.</w:t>
      </w:r>
    </w:p>
    <w:p w:rsidR="00595203" w:rsidRPr="000F5FE8"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sidRPr="000F5FE8">
        <w:rPr>
          <w:rFonts w:cstheme="minorHAnsi"/>
          <w:b/>
          <w:sz w:val="26"/>
          <w:szCs w:val="26"/>
        </w:rPr>
        <w:lastRenderedPageBreak/>
        <w:t>Jail Reforms</w:t>
      </w:r>
    </w:p>
    <w:p w:rsidR="00595203" w:rsidRDefault="00595203" w:rsidP="00595203">
      <w:pPr>
        <w:jc w:val="both"/>
        <w:rPr>
          <w:rFonts w:cstheme="minorHAnsi"/>
          <w:sz w:val="26"/>
          <w:szCs w:val="26"/>
        </w:rPr>
      </w:pPr>
      <w:r w:rsidRPr="000F5FE8">
        <w:rPr>
          <w:rFonts w:cstheme="minorHAnsi"/>
          <w:sz w:val="26"/>
          <w:szCs w:val="26"/>
        </w:rPr>
        <w:t>As the British continued to follow the criminal justice system of the Muslim period for a long time, the jails, as part of the whole system, were administered by the East India Company without any change. As the Company was reluctant to spend money on jails, the condition of the jails was deplorable. In many jails, there was no separation between male and female prisoners by day or night. Up to 1860, the management of District Jails had devolved upon the District Magistrate.</w:t>
      </w:r>
      <w:r>
        <w:rPr>
          <w:rFonts w:cstheme="minorHAnsi"/>
          <w:sz w:val="26"/>
          <w:szCs w:val="26"/>
        </w:rPr>
        <w:t xml:space="preserve"> </w:t>
      </w:r>
    </w:p>
    <w:p w:rsidR="00595203" w:rsidRPr="000F5FE8" w:rsidRDefault="00595203" w:rsidP="00595203">
      <w:pPr>
        <w:jc w:val="both"/>
        <w:rPr>
          <w:rFonts w:cstheme="minorHAnsi"/>
          <w:sz w:val="26"/>
          <w:szCs w:val="26"/>
        </w:rPr>
      </w:pPr>
      <w:r w:rsidRPr="000F5FE8">
        <w:rPr>
          <w:rFonts w:cstheme="minorHAnsi"/>
          <w:sz w:val="26"/>
          <w:szCs w:val="26"/>
        </w:rPr>
        <w:t>There was no manual of rules or regulations for the guidance of the jail staff. In the presidency of Bombay a simple Code of Rules was framed in 1860 and this was followed by Gaols Rules framed in 1866. In Bengal, the Jail Code was compiled in 1864 which defined inter alia the duties, responsibilities and powers of the various officers in the jails. With a view to understanding the problems in the jails and to bring about reforms, various committees were appointed in the latter half of nineteenth century. A few recommendations of these committees were carried into effect from time to time but the reforms never reached to a satisfactory level. Finally, the Prisoners Act of 1894 was enacted followed by the Reformatory Schools Act of 1897.</w:t>
      </w:r>
    </w:p>
    <w:p w:rsidR="00595203" w:rsidRPr="000F5FE8" w:rsidRDefault="00595203" w:rsidP="00595203">
      <w:pPr>
        <w:jc w:val="both"/>
        <w:rPr>
          <w:rFonts w:cstheme="minorHAnsi"/>
          <w:sz w:val="26"/>
          <w:szCs w:val="26"/>
        </w:rPr>
      </w:pPr>
      <w:r w:rsidRPr="000F5FE8">
        <w:rPr>
          <w:rFonts w:cstheme="minorHAnsi"/>
          <w:sz w:val="26"/>
          <w:szCs w:val="26"/>
        </w:rPr>
        <w:t>The Prisons Act of 1894 provided that convicted prisoners may be confined either in association or individually in cells. It fixed nine hours' labour a day for convicts sentenced to labour. The British appointed another committee in 1919 known as the Indian Jails Committee. As a result of the recommendations of this committee a number of changes were introduced in the rules governing the jail system of the country</w:t>
      </w:r>
      <w:proofErr w:type="gramStart"/>
      <w:r w:rsidRPr="000F5FE8">
        <w:rPr>
          <w:rFonts w:cstheme="minorHAnsi"/>
          <w:sz w:val="26"/>
          <w:szCs w:val="26"/>
        </w:rPr>
        <w:t>.[</w:t>
      </w:r>
      <w:proofErr w:type="gramEnd"/>
      <w:r w:rsidRPr="000F5FE8">
        <w:rPr>
          <w:rFonts w:cstheme="minorHAnsi"/>
          <w:sz w:val="26"/>
          <w:szCs w:val="26"/>
        </w:rPr>
        <w:t>6]</w:t>
      </w:r>
    </w:p>
    <w:p w:rsidR="00595203" w:rsidRPr="000F5FE8"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sidRPr="000F5FE8">
        <w:rPr>
          <w:rFonts w:cstheme="minorHAnsi"/>
          <w:b/>
          <w:sz w:val="26"/>
          <w:szCs w:val="26"/>
        </w:rPr>
        <w:t>Establishment of High Courts</w:t>
      </w:r>
    </w:p>
    <w:p w:rsidR="00595203" w:rsidRPr="000F5FE8" w:rsidRDefault="00595203" w:rsidP="00595203">
      <w:pPr>
        <w:jc w:val="both"/>
        <w:rPr>
          <w:rFonts w:cstheme="minorHAnsi"/>
          <w:sz w:val="26"/>
          <w:szCs w:val="26"/>
        </w:rPr>
      </w:pPr>
      <w:r w:rsidRPr="000F5FE8">
        <w:rPr>
          <w:rFonts w:cstheme="minorHAnsi"/>
          <w:sz w:val="26"/>
          <w:szCs w:val="26"/>
        </w:rPr>
        <w:t xml:space="preserve">The British Parliament passed the Indian High Courts Act, 1861 which empowered the Crown to establish, by Letters Patent, High Courts of Judicature at Calcutta, Madras and Bombay abolishing the Supreme Courts and the Courts of </w:t>
      </w:r>
      <w:proofErr w:type="spellStart"/>
      <w:r w:rsidRPr="000F5FE8">
        <w:rPr>
          <w:rFonts w:cstheme="minorHAnsi"/>
          <w:sz w:val="26"/>
          <w:szCs w:val="26"/>
        </w:rPr>
        <w:t>Sadar</w:t>
      </w:r>
      <w:proofErr w:type="spellEnd"/>
      <w:r w:rsidRPr="000F5FE8">
        <w:rPr>
          <w:rFonts w:cstheme="minorHAnsi"/>
          <w:sz w:val="26"/>
          <w:szCs w:val="26"/>
        </w:rPr>
        <w:t xml:space="preserve"> </w:t>
      </w:r>
      <w:proofErr w:type="spellStart"/>
      <w:r w:rsidRPr="000F5FE8">
        <w:rPr>
          <w:rFonts w:cstheme="minorHAnsi"/>
          <w:sz w:val="26"/>
          <w:szCs w:val="26"/>
        </w:rPr>
        <w:t>Diwani</w:t>
      </w:r>
      <w:proofErr w:type="spellEnd"/>
      <w:r w:rsidRPr="000F5FE8">
        <w:rPr>
          <w:rFonts w:cstheme="minorHAnsi"/>
          <w:sz w:val="26"/>
          <w:szCs w:val="26"/>
        </w:rPr>
        <w:t xml:space="preserve"> and </w:t>
      </w:r>
      <w:proofErr w:type="spellStart"/>
      <w:r w:rsidRPr="000F5FE8">
        <w:rPr>
          <w:rFonts w:cstheme="minorHAnsi"/>
          <w:sz w:val="26"/>
          <w:szCs w:val="26"/>
        </w:rPr>
        <w:t>Sadar</w:t>
      </w:r>
      <w:proofErr w:type="spellEnd"/>
      <w:r w:rsidRPr="000F5FE8">
        <w:rPr>
          <w:rFonts w:cstheme="minorHAnsi"/>
          <w:sz w:val="26"/>
          <w:szCs w:val="26"/>
        </w:rPr>
        <w:t xml:space="preserve"> </w:t>
      </w:r>
      <w:proofErr w:type="spellStart"/>
      <w:r w:rsidRPr="000F5FE8">
        <w:rPr>
          <w:rFonts w:cstheme="minorHAnsi"/>
          <w:sz w:val="26"/>
          <w:szCs w:val="26"/>
        </w:rPr>
        <w:t>Nizamat</w:t>
      </w:r>
      <w:proofErr w:type="spellEnd"/>
      <w:r w:rsidRPr="000F5FE8">
        <w:rPr>
          <w:rFonts w:cstheme="minorHAnsi"/>
          <w:sz w:val="26"/>
          <w:szCs w:val="26"/>
        </w:rPr>
        <w:t xml:space="preserve"> </w:t>
      </w:r>
      <w:proofErr w:type="spellStart"/>
      <w:r w:rsidRPr="000F5FE8">
        <w:rPr>
          <w:rFonts w:cstheme="minorHAnsi"/>
          <w:sz w:val="26"/>
          <w:szCs w:val="26"/>
        </w:rPr>
        <w:t>Adalat</w:t>
      </w:r>
      <w:proofErr w:type="spellEnd"/>
      <w:r w:rsidRPr="000F5FE8">
        <w:rPr>
          <w:rFonts w:cstheme="minorHAnsi"/>
          <w:sz w:val="26"/>
          <w:szCs w:val="26"/>
        </w:rPr>
        <w:t>. The jurisdiction and powers of the High Courts were to be fixed by the Letters Patent. Accordingly, the High Courts at Bombay, Madras and Calcutta were established in the year 1862.</w:t>
      </w:r>
    </w:p>
    <w:p w:rsidR="00595203" w:rsidRPr="000F5FE8" w:rsidRDefault="00595203" w:rsidP="00595203">
      <w:pPr>
        <w:jc w:val="both"/>
        <w:rPr>
          <w:rFonts w:cstheme="minorHAnsi"/>
          <w:sz w:val="26"/>
          <w:szCs w:val="26"/>
        </w:rPr>
      </w:pPr>
      <w:r w:rsidRPr="000F5FE8">
        <w:rPr>
          <w:rFonts w:cstheme="minorHAnsi"/>
          <w:sz w:val="26"/>
          <w:szCs w:val="26"/>
        </w:rPr>
        <w:t xml:space="preserve">Subsequently, High Courts were established at other places in India. Each High Court was empowered to have supervision over all courts subject to its appellate jurisdiction. With this the </w:t>
      </w:r>
      <w:proofErr w:type="gramStart"/>
      <w:r w:rsidRPr="000F5FE8">
        <w:rPr>
          <w:rFonts w:cstheme="minorHAnsi"/>
          <w:sz w:val="26"/>
          <w:szCs w:val="26"/>
        </w:rPr>
        <w:t>number of courts were</w:t>
      </w:r>
      <w:proofErr w:type="gramEnd"/>
      <w:r w:rsidRPr="000F5FE8">
        <w:rPr>
          <w:rFonts w:cstheme="minorHAnsi"/>
          <w:sz w:val="26"/>
          <w:szCs w:val="26"/>
        </w:rPr>
        <w:t xml:space="preserve"> decreased; the quality of work of </w:t>
      </w:r>
      <w:r w:rsidRPr="000F5FE8">
        <w:rPr>
          <w:rFonts w:cstheme="minorHAnsi"/>
          <w:sz w:val="26"/>
          <w:szCs w:val="26"/>
        </w:rPr>
        <w:lastRenderedPageBreak/>
        <w:t xml:space="preserve">the lower courts improved; efficiency of the Judges improved; procedures were simplified and the appellate procedure also became uniform. The Letters Patent also empowered the High Courts to </w:t>
      </w:r>
      <w:proofErr w:type="spellStart"/>
      <w:r w:rsidRPr="000F5FE8">
        <w:rPr>
          <w:rFonts w:cstheme="minorHAnsi"/>
          <w:sz w:val="26"/>
          <w:szCs w:val="26"/>
        </w:rPr>
        <w:t>enroll</w:t>
      </w:r>
      <w:proofErr w:type="spellEnd"/>
      <w:r w:rsidRPr="000F5FE8">
        <w:rPr>
          <w:rFonts w:cstheme="minorHAnsi"/>
          <w:sz w:val="26"/>
          <w:szCs w:val="26"/>
        </w:rPr>
        <w:t xml:space="preserve"> and remove Advocates, </w:t>
      </w:r>
      <w:proofErr w:type="spellStart"/>
      <w:r w:rsidRPr="000F5FE8">
        <w:rPr>
          <w:rFonts w:cstheme="minorHAnsi"/>
          <w:sz w:val="26"/>
          <w:szCs w:val="26"/>
        </w:rPr>
        <w:t>Vakils</w:t>
      </w:r>
      <w:proofErr w:type="spellEnd"/>
      <w:r w:rsidRPr="000F5FE8">
        <w:rPr>
          <w:rFonts w:cstheme="minorHAnsi"/>
          <w:sz w:val="26"/>
          <w:szCs w:val="26"/>
        </w:rPr>
        <w:t xml:space="preserve"> and Attorneys-at-Law. The establishment of High Courts was a significant step in the evolution of the criminal justice system in India.</w:t>
      </w:r>
    </w:p>
    <w:p w:rsidR="00595203" w:rsidRDefault="00595203" w:rsidP="00595203">
      <w:pPr>
        <w:jc w:val="both"/>
        <w:rPr>
          <w:rFonts w:cstheme="minorHAnsi"/>
          <w:sz w:val="26"/>
          <w:szCs w:val="26"/>
        </w:rPr>
      </w:pPr>
    </w:p>
    <w:p w:rsidR="00595203" w:rsidRPr="000F5FE8" w:rsidRDefault="00595203" w:rsidP="00595203">
      <w:pPr>
        <w:jc w:val="both"/>
        <w:rPr>
          <w:rFonts w:cstheme="minorHAnsi"/>
          <w:b/>
          <w:sz w:val="26"/>
          <w:szCs w:val="26"/>
        </w:rPr>
      </w:pPr>
      <w:r>
        <w:rPr>
          <w:rFonts w:cstheme="minorHAnsi"/>
          <w:b/>
          <w:sz w:val="26"/>
          <w:szCs w:val="26"/>
        </w:rPr>
        <w:t>Federal Court o</w:t>
      </w:r>
      <w:r w:rsidRPr="000F5FE8">
        <w:rPr>
          <w:rFonts w:cstheme="minorHAnsi"/>
          <w:b/>
          <w:sz w:val="26"/>
          <w:szCs w:val="26"/>
        </w:rPr>
        <w:t>f India</w:t>
      </w:r>
    </w:p>
    <w:p w:rsidR="00595203" w:rsidRPr="000F5FE8" w:rsidRDefault="00595203" w:rsidP="00595203">
      <w:pPr>
        <w:jc w:val="both"/>
        <w:rPr>
          <w:rFonts w:cstheme="minorHAnsi"/>
          <w:sz w:val="26"/>
          <w:szCs w:val="26"/>
        </w:rPr>
      </w:pPr>
      <w:r w:rsidRPr="000F5FE8">
        <w:rPr>
          <w:rFonts w:cstheme="minorHAnsi"/>
          <w:sz w:val="26"/>
          <w:szCs w:val="26"/>
        </w:rPr>
        <w:t>The Government of India Act, 1935 changed the structure of the Indian Government from unitary to that of the federal type. It laid the foundation for a federal framework in India. A federal Constitution involves a distribution of powers between the centre and the constituent units. Therefore, setting up of a federal court was necessary, and accordingly, as per the provisions of the Government of India Act, 1935 the Federal Court of India was inaugurated at Delhi on 1st October 1937It is pertinent to note that the Federal Court Order-in-Council of 1937 fixed the salary of the Chief Justice of the Federal Court at Rs. 7,000 a month and of other Judges at Rs. 5,000 a month.</w:t>
      </w:r>
    </w:p>
    <w:p w:rsidR="00595203" w:rsidRPr="000F5FE8" w:rsidRDefault="00595203" w:rsidP="00595203">
      <w:pPr>
        <w:jc w:val="both"/>
        <w:rPr>
          <w:rFonts w:cstheme="minorHAnsi"/>
          <w:sz w:val="26"/>
          <w:szCs w:val="26"/>
        </w:rPr>
      </w:pPr>
      <w:r w:rsidRPr="000F5FE8">
        <w:rPr>
          <w:rFonts w:cstheme="minorHAnsi"/>
          <w:sz w:val="26"/>
          <w:szCs w:val="26"/>
        </w:rPr>
        <w:t>They were specially paid high salaries so that they could maintain a high standard of living, befitting their eminent positions. The Federal Court functioned successfully and effectively during the transitional period in Indian history, when there was no written Constitution. It built up great traditions of independence, impartiality and integrity which all were inherited by its successor, the Supreme Court of India, established on 26th January 1950 under the Constitution of India.</w:t>
      </w:r>
    </w:p>
    <w:p w:rsidR="00346302" w:rsidRDefault="00346302"/>
    <w:sectPr w:rsidR="00346302" w:rsidSect="003463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95203"/>
    <w:rsid w:val="00000980"/>
    <w:rsid w:val="00003758"/>
    <w:rsid w:val="00003FF6"/>
    <w:rsid w:val="000044B5"/>
    <w:rsid w:val="00006D88"/>
    <w:rsid w:val="00007BCA"/>
    <w:rsid w:val="00007FEA"/>
    <w:rsid w:val="00010366"/>
    <w:rsid w:val="00010E33"/>
    <w:rsid w:val="0002111C"/>
    <w:rsid w:val="000241C1"/>
    <w:rsid w:val="00025CB2"/>
    <w:rsid w:val="0003359F"/>
    <w:rsid w:val="000339F6"/>
    <w:rsid w:val="00035EB4"/>
    <w:rsid w:val="00036701"/>
    <w:rsid w:val="000377A7"/>
    <w:rsid w:val="000379C8"/>
    <w:rsid w:val="000407C1"/>
    <w:rsid w:val="00043F91"/>
    <w:rsid w:val="00044D67"/>
    <w:rsid w:val="00047E65"/>
    <w:rsid w:val="00050BC7"/>
    <w:rsid w:val="000545D2"/>
    <w:rsid w:val="00055ECB"/>
    <w:rsid w:val="0005771D"/>
    <w:rsid w:val="0006326C"/>
    <w:rsid w:val="00065DD4"/>
    <w:rsid w:val="00066497"/>
    <w:rsid w:val="000664C0"/>
    <w:rsid w:val="000671E3"/>
    <w:rsid w:val="000678E8"/>
    <w:rsid w:val="0007289E"/>
    <w:rsid w:val="000754DB"/>
    <w:rsid w:val="00076E87"/>
    <w:rsid w:val="000808E3"/>
    <w:rsid w:val="00082D44"/>
    <w:rsid w:val="00083051"/>
    <w:rsid w:val="00083369"/>
    <w:rsid w:val="00086569"/>
    <w:rsid w:val="00086E55"/>
    <w:rsid w:val="0008796E"/>
    <w:rsid w:val="00092552"/>
    <w:rsid w:val="000A2A1F"/>
    <w:rsid w:val="000A30FE"/>
    <w:rsid w:val="000B2802"/>
    <w:rsid w:val="000B61B2"/>
    <w:rsid w:val="000B66D5"/>
    <w:rsid w:val="000B77CA"/>
    <w:rsid w:val="000C2A8D"/>
    <w:rsid w:val="000C2AAD"/>
    <w:rsid w:val="000C2B3D"/>
    <w:rsid w:val="000C315B"/>
    <w:rsid w:val="000C44BA"/>
    <w:rsid w:val="000C61FA"/>
    <w:rsid w:val="000C7C4D"/>
    <w:rsid w:val="000D0E71"/>
    <w:rsid w:val="000D6B2E"/>
    <w:rsid w:val="000E1EDD"/>
    <w:rsid w:val="000E44ED"/>
    <w:rsid w:val="000E4BD2"/>
    <w:rsid w:val="000E5917"/>
    <w:rsid w:val="000E629E"/>
    <w:rsid w:val="000E735A"/>
    <w:rsid w:val="000F12CD"/>
    <w:rsid w:val="000F1EA2"/>
    <w:rsid w:val="000F3CF9"/>
    <w:rsid w:val="000F6EBC"/>
    <w:rsid w:val="001001B1"/>
    <w:rsid w:val="001014FF"/>
    <w:rsid w:val="0010411D"/>
    <w:rsid w:val="0010470F"/>
    <w:rsid w:val="0010520B"/>
    <w:rsid w:val="00105891"/>
    <w:rsid w:val="00106E32"/>
    <w:rsid w:val="00107BB4"/>
    <w:rsid w:val="0011181A"/>
    <w:rsid w:val="0011337E"/>
    <w:rsid w:val="00115FD8"/>
    <w:rsid w:val="001210E8"/>
    <w:rsid w:val="001239F8"/>
    <w:rsid w:val="00125376"/>
    <w:rsid w:val="00130501"/>
    <w:rsid w:val="00133243"/>
    <w:rsid w:val="001346BA"/>
    <w:rsid w:val="00137E8A"/>
    <w:rsid w:val="001421DD"/>
    <w:rsid w:val="00142654"/>
    <w:rsid w:val="0014511D"/>
    <w:rsid w:val="00150DC0"/>
    <w:rsid w:val="00150F96"/>
    <w:rsid w:val="00155CC5"/>
    <w:rsid w:val="00156EFC"/>
    <w:rsid w:val="0016686C"/>
    <w:rsid w:val="0017241E"/>
    <w:rsid w:val="00172D89"/>
    <w:rsid w:val="00174ED2"/>
    <w:rsid w:val="0017750F"/>
    <w:rsid w:val="00181F76"/>
    <w:rsid w:val="00183E48"/>
    <w:rsid w:val="0018489B"/>
    <w:rsid w:val="00190768"/>
    <w:rsid w:val="00190CE2"/>
    <w:rsid w:val="00192CA8"/>
    <w:rsid w:val="00195A0D"/>
    <w:rsid w:val="00195C4A"/>
    <w:rsid w:val="00196DD9"/>
    <w:rsid w:val="001976C8"/>
    <w:rsid w:val="001A1D97"/>
    <w:rsid w:val="001A7565"/>
    <w:rsid w:val="001B2591"/>
    <w:rsid w:val="001B6833"/>
    <w:rsid w:val="001B7998"/>
    <w:rsid w:val="001C03C7"/>
    <w:rsid w:val="001C0CA3"/>
    <w:rsid w:val="001C26D2"/>
    <w:rsid w:val="001C5C54"/>
    <w:rsid w:val="001C61A9"/>
    <w:rsid w:val="001C775C"/>
    <w:rsid w:val="001D0F92"/>
    <w:rsid w:val="001D1136"/>
    <w:rsid w:val="001D195D"/>
    <w:rsid w:val="001D283F"/>
    <w:rsid w:val="001D517C"/>
    <w:rsid w:val="001D700A"/>
    <w:rsid w:val="001E076B"/>
    <w:rsid w:val="001E0805"/>
    <w:rsid w:val="001E1D34"/>
    <w:rsid w:val="001F0BC4"/>
    <w:rsid w:val="001F39DC"/>
    <w:rsid w:val="001F5098"/>
    <w:rsid w:val="001F6DA1"/>
    <w:rsid w:val="00201128"/>
    <w:rsid w:val="00202998"/>
    <w:rsid w:val="00203769"/>
    <w:rsid w:val="002048A0"/>
    <w:rsid w:val="002049E2"/>
    <w:rsid w:val="00206B17"/>
    <w:rsid w:val="00207961"/>
    <w:rsid w:val="002112EA"/>
    <w:rsid w:val="00212D00"/>
    <w:rsid w:val="00213F2E"/>
    <w:rsid w:val="002145FE"/>
    <w:rsid w:val="002162DC"/>
    <w:rsid w:val="002200DD"/>
    <w:rsid w:val="0022095F"/>
    <w:rsid w:val="00221CB2"/>
    <w:rsid w:val="0022210C"/>
    <w:rsid w:val="00227806"/>
    <w:rsid w:val="00227C20"/>
    <w:rsid w:val="00230C69"/>
    <w:rsid w:val="00231D4E"/>
    <w:rsid w:val="0023298F"/>
    <w:rsid w:val="002355A1"/>
    <w:rsid w:val="00235990"/>
    <w:rsid w:val="0023676C"/>
    <w:rsid w:val="00237F2C"/>
    <w:rsid w:val="00240C4E"/>
    <w:rsid w:val="002468A0"/>
    <w:rsid w:val="00250B8D"/>
    <w:rsid w:val="00252E9E"/>
    <w:rsid w:val="00265589"/>
    <w:rsid w:val="00270BC1"/>
    <w:rsid w:val="002773D7"/>
    <w:rsid w:val="002778AD"/>
    <w:rsid w:val="00277D6F"/>
    <w:rsid w:val="00282584"/>
    <w:rsid w:val="00282F79"/>
    <w:rsid w:val="00284A92"/>
    <w:rsid w:val="00285E52"/>
    <w:rsid w:val="00285E5F"/>
    <w:rsid w:val="00286888"/>
    <w:rsid w:val="00287382"/>
    <w:rsid w:val="00291C3A"/>
    <w:rsid w:val="00296CFA"/>
    <w:rsid w:val="002A5BBE"/>
    <w:rsid w:val="002A6272"/>
    <w:rsid w:val="002B084C"/>
    <w:rsid w:val="002B313C"/>
    <w:rsid w:val="002B6DFC"/>
    <w:rsid w:val="002C348E"/>
    <w:rsid w:val="002C4013"/>
    <w:rsid w:val="002C4387"/>
    <w:rsid w:val="002C5303"/>
    <w:rsid w:val="002D43DA"/>
    <w:rsid w:val="002D65EC"/>
    <w:rsid w:val="002D6CF7"/>
    <w:rsid w:val="002D7954"/>
    <w:rsid w:val="002E1676"/>
    <w:rsid w:val="002E29FB"/>
    <w:rsid w:val="002E5A13"/>
    <w:rsid w:val="002E7CA1"/>
    <w:rsid w:val="002F1BF8"/>
    <w:rsid w:val="002F38E0"/>
    <w:rsid w:val="002F58E5"/>
    <w:rsid w:val="002F5E83"/>
    <w:rsid w:val="002F6BEA"/>
    <w:rsid w:val="002F7BB1"/>
    <w:rsid w:val="00301CC1"/>
    <w:rsid w:val="00305817"/>
    <w:rsid w:val="00310260"/>
    <w:rsid w:val="003102F9"/>
    <w:rsid w:val="00310B1F"/>
    <w:rsid w:val="00312088"/>
    <w:rsid w:val="00312E0A"/>
    <w:rsid w:val="00315A5C"/>
    <w:rsid w:val="003160B2"/>
    <w:rsid w:val="00316B7A"/>
    <w:rsid w:val="00321750"/>
    <w:rsid w:val="00326DC0"/>
    <w:rsid w:val="00327007"/>
    <w:rsid w:val="0033565C"/>
    <w:rsid w:val="00336422"/>
    <w:rsid w:val="003446E0"/>
    <w:rsid w:val="00346302"/>
    <w:rsid w:val="00351F9F"/>
    <w:rsid w:val="00353439"/>
    <w:rsid w:val="003536ED"/>
    <w:rsid w:val="00353F64"/>
    <w:rsid w:val="00355658"/>
    <w:rsid w:val="0035630E"/>
    <w:rsid w:val="003620DA"/>
    <w:rsid w:val="00362F11"/>
    <w:rsid w:val="00365B69"/>
    <w:rsid w:val="00372553"/>
    <w:rsid w:val="003725AC"/>
    <w:rsid w:val="00372E52"/>
    <w:rsid w:val="0037475B"/>
    <w:rsid w:val="00376EAF"/>
    <w:rsid w:val="00377965"/>
    <w:rsid w:val="00382B1F"/>
    <w:rsid w:val="00383556"/>
    <w:rsid w:val="00383F81"/>
    <w:rsid w:val="003903E2"/>
    <w:rsid w:val="00392BEB"/>
    <w:rsid w:val="003939FD"/>
    <w:rsid w:val="00394ECF"/>
    <w:rsid w:val="003A0EAF"/>
    <w:rsid w:val="003A3208"/>
    <w:rsid w:val="003A7B92"/>
    <w:rsid w:val="003B0B4B"/>
    <w:rsid w:val="003B302B"/>
    <w:rsid w:val="003B3943"/>
    <w:rsid w:val="003B3D0A"/>
    <w:rsid w:val="003B4217"/>
    <w:rsid w:val="003B4D0C"/>
    <w:rsid w:val="003B60A5"/>
    <w:rsid w:val="003C1CB2"/>
    <w:rsid w:val="003C3249"/>
    <w:rsid w:val="003C4D4B"/>
    <w:rsid w:val="003D1ABC"/>
    <w:rsid w:val="003D3C2D"/>
    <w:rsid w:val="003D52E6"/>
    <w:rsid w:val="003D5ADD"/>
    <w:rsid w:val="003E117C"/>
    <w:rsid w:val="003E2080"/>
    <w:rsid w:val="003E7CD1"/>
    <w:rsid w:val="003F092E"/>
    <w:rsid w:val="003F2167"/>
    <w:rsid w:val="003F2CBC"/>
    <w:rsid w:val="003F729B"/>
    <w:rsid w:val="0040027A"/>
    <w:rsid w:val="00401297"/>
    <w:rsid w:val="004015F4"/>
    <w:rsid w:val="004038BB"/>
    <w:rsid w:val="00403AB8"/>
    <w:rsid w:val="00404C18"/>
    <w:rsid w:val="0040546F"/>
    <w:rsid w:val="004062D3"/>
    <w:rsid w:val="0041010D"/>
    <w:rsid w:val="00410F65"/>
    <w:rsid w:val="004118CD"/>
    <w:rsid w:val="004120DA"/>
    <w:rsid w:val="00413A0C"/>
    <w:rsid w:val="00423D64"/>
    <w:rsid w:val="004241CA"/>
    <w:rsid w:val="00430EF2"/>
    <w:rsid w:val="0043175D"/>
    <w:rsid w:val="00432D06"/>
    <w:rsid w:val="00437759"/>
    <w:rsid w:val="00440323"/>
    <w:rsid w:val="0044108D"/>
    <w:rsid w:val="00445B49"/>
    <w:rsid w:val="00447CCC"/>
    <w:rsid w:val="0045172E"/>
    <w:rsid w:val="004535F7"/>
    <w:rsid w:val="00456675"/>
    <w:rsid w:val="0045762A"/>
    <w:rsid w:val="00461890"/>
    <w:rsid w:val="00462BE9"/>
    <w:rsid w:val="00465580"/>
    <w:rsid w:val="00472B96"/>
    <w:rsid w:val="004733FD"/>
    <w:rsid w:val="004814AC"/>
    <w:rsid w:val="00483619"/>
    <w:rsid w:val="004838DA"/>
    <w:rsid w:val="004853FE"/>
    <w:rsid w:val="004934B0"/>
    <w:rsid w:val="004959DB"/>
    <w:rsid w:val="00496030"/>
    <w:rsid w:val="00496FC6"/>
    <w:rsid w:val="00497D01"/>
    <w:rsid w:val="00497D89"/>
    <w:rsid w:val="004A1155"/>
    <w:rsid w:val="004A147F"/>
    <w:rsid w:val="004A1C10"/>
    <w:rsid w:val="004A3176"/>
    <w:rsid w:val="004A63F4"/>
    <w:rsid w:val="004B001B"/>
    <w:rsid w:val="004B34B8"/>
    <w:rsid w:val="004B7921"/>
    <w:rsid w:val="004B7D08"/>
    <w:rsid w:val="004C1597"/>
    <w:rsid w:val="004C2608"/>
    <w:rsid w:val="004C2F8A"/>
    <w:rsid w:val="004C447C"/>
    <w:rsid w:val="004D04C8"/>
    <w:rsid w:val="004D0BBD"/>
    <w:rsid w:val="004D0E6C"/>
    <w:rsid w:val="004D1734"/>
    <w:rsid w:val="004D40CA"/>
    <w:rsid w:val="004D6D38"/>
    <w:rsid w:val="004E2737"/>
    <w:rsid w:val="004E4438"/>
    <w:rsid w:val="004E5AF4"/>
    <w:rsid w:val="004F0BBD"/>
    <w:rsid w:val="004F3372"/>
    <w:rsid w:val="005008AF"/>
    <w:rsid w:val="00500CCE"/>
    <w:rsid w:val="00503541"/>
    <w:rsid w:val="00505006"/>
    <w:rsid w:val="00505205"/>
    <w:rsid w:val="0050564A"/>
    <w:rsid w:val="005063C5"/>
    <w:rsid w:val="0050742C"/>
    <w:rsid w:val="005076A3"/>
    <w:rsid w:val="00507717"/>
    <w:rsid w:val="00511EF9"/>
    <w:rsid w:val="00512600"/>
    <w:rsid w:val="00512948"/>
    <w:rsid w:val="00514CC0"/>
    <w:rsid w:val="005155C0"/>
    <w:rsid w:val="00516754"/>
    <w:rsid w:val="00516D1C"/>
    <w:rsid w:val="00517A23"/>
    <w:rsid w:val="00520815"/>
    <w:rsid w:val="00520BFC"/>
    <w:rsid w:val="00524564"/>
    <w:rsid w:val="0052524B"/>
    <w:rsid w:val="00525470"/>
    <w:rsid w:val="00525CD4"/>
    <w:rsid w:val="005273CF"/>
    <w:rsid w:val="0053352F"/>
    <w:rsid w:val="00534434"/>
    <w:rsid w:val="00534671"/>
    <w:rsid w:val="0053551E"/>
    <w:rsid w:val="0054139C"/>
    <w:rsid w:val="005502A4"/>
    <w:rsid w:val="0055065C"/>
    <w:rsid w:val="00550D5B"/>
    <w:rsid w:val="00551561"/>
    <w:rsid w:val="00555F7D"/>
    <w:rsid w:val="005603EE"/>
    <w:rsid w:val="005617ED"/>
    <w:rsid w:val="00562094"/>
    <w:rsid w:val="0056364C"/>
    <w:rsid w:val="00563DE2"/>
    <w:rsid w:val="005668BD"/>
    <w:rsid w:val="00567552"/>
    <w:rsid w:val="00567B1B"/>
    <w:rsid w:val="00571F0B"/>
    <w:rsid w:val="00573B13"/>
    <w:rsid w:val="005741CF"/>
    <w:rsid w:val="005742FD"/>
    <w:rsid w:val="00576A2D"/>
    <w:rsid w:val="00577CAE"/>
    <w:rsid w:val="00583070"/>
    <w:rsid w:val="005840A6"/>
    <w:rsid w:val="00584265"/>
    <w:rsid w:val="00585E54"/>
    <w:rsid w:val="0059203B"/>
    <w:rsid w:val="00592682"/>
    <w:rsid w:val="00592D17"/>
    <w:rsid w:val="00594663"/>
    <w:rsid w:val="00595203"/>
    <w:rsid w:val="00595741"/>
    <w:rsid w:val="005A0158"/>
    <w:rsid w:val="005A6054"/>
    <w:rsid w:val="005A62D8"/>
    <w:rsid w:val="005A762E"/>
    <w:rsid w:val="005A7B98"/>
    <w:rsid w:val="005B01DA"/>
    <w:rsid w:val="005B3AA8"/>
    <w:rsid w:val="005B4BFA"/>
    <w:rsid w:val="005B5130"/>
    <w:rsid w:val="005C2DC0"/>
    <w:rsid w:val="005C3547"/>
    <w:rsid w:val="005D4C6E"/>
    <w:rsid w:val="005D6353"/>
    <w:rsid w:val="005D726D"/>
    <w:rsid w:val="005D7676"/>
    <w:rsid w:val="005E2CD5"/>
    <w:rsid w:val="005F0408"/>
    <w:rsid w:val="005F3F6B"/>
    <w:rsid w:val="00601A55"/>
    <w:rsid w:val="006043C6"/>
    <w:rsid w:val="00604C9C"/>
    <w:rsid w:val="00607195"/>
    <w:rsid w:val="00607F31"/>
    <w:rsid w:val="00612030"/>
    <w:rsid w:val="0061396C"/>
    <w:rsid w:val="00616227"/>
    <w:rsid w:val="006171A1"/>
    <w:rsid w:val="00617BBB"/>
    <w:rsid w:val="0062003E"/>
    <w:rsid w:val="006203A5"/>
    <w:rsid w:val="00621D30"/>
    <w:rsid w:val="00622147"/>
    <w:rsid w:val="00623A50"/>
    <w:rsid w:val="00623C22"/>
    <w:rsid w:val="00623D18"/>
    <w:rsid w:val="006267BE"/>
    <w:rsid w:val="0063097C"/>
    <w:rsid w:val="0063185F"/>
    <w:rsid w:val="00635722"/>
    <w:rsid w:val="006366E5"/>
    <w:rsid w:val="00636FEC"/>
    <w:rsid w:val="006371C1"/>
    <w:rsid w:val="00637928"/>
    <w:rsid w:val="006428E8"/>
    <w:rsid w:val="006462AD"/>
    <w:rsid w:val="00646439"/>
    <w:rsid w:val="006535AA"/>
    <w:rsid w:val="00653A4E"/>
    <w:rsid w:val="00655932"/>
    <w:rsid w:val="006576DF"/>
    <w:rsid w:val="006623D1"/>
    <w:rsid w:val="00665F16"/>
    <w:rsid w:val="00666690"/>
    <w:rsid w:val="006675C1"/>
    <w:rsid w:val="006678B0"/>
    <w:rsid w:val="006752CC"/>
    <w:rsid w:val="0067741B"/>
    <w:rsid w:val="00677AB3"/>
    <w:rsid w:val="0068251B"/>
    <w:rsid w:val="00685CAE"/>
    <w:rsid w:val="00690106"/>
    <w:rsid w:val="0069089A"/>
    <w:rsid w:val="0069138F"/>
    <w:rsid w:val="00697A7D"/>
    <w:rsid w:val="006A7215"/>
    <w:rsid w:val="006B4844"/>
    <w:rsid w:val="006B5C98"/>
    <w:rsid w:val="006C34A0"/>
    <w:rsid w:val="006C35A5"/>
    <w:rsid w:val="006C3EB9"/>
    <w:rsid w:val="006C4A5A"/>
    <w:rsid w:val="006D025A"/>
    <w:rsid w:val="006D0F83"/>
    <w:rsid w:val="006D1851"/>
    <w:rsid w:val="006D22D1"/>
    <w:rsid w:val="006D2694"/>
    <w:rsid w:val="006D49A8"/>
    <w:rsid w:val="006D5CD0"/>
    <w:rsid w:val="006E2E47"/>
    <w:rsid w:val="006E3525"/>
    <w:rsid w:val="006E41F1"/>
    <w:rsid w:val="006F46B2"/>
    <w:rsid w:val="006F49DB"/>
    <w:rsid w:val="00700805"/>
    <w:rsid w:val="0070128B"/>
    <w:rsid w:val="00701521"/>
    <w:rsid w:val="0070186D"/>
    <w:rsid w:val="00705A00"/>
    <w:rsid w:val="00707284"/>
    <w:rsid w:val="00711EC7"/>
    <w:rsid w:val="0071495D"/>
    <w:rsid w:val="00715722"/>
    <w:rsid w:val="0071613F"/>
    <w:rsid w:val="00716570"/>
    <w:rsid w:val="007203B3"/>
    <w:rsid w:val="00721D9D"/>
    <w:rsid w:val="00723EA1"/>
    <w:rsid w:val="00726D51"/>
    <w:rsid w:val="00727976"/>
    <w:rsid w:val="00727CC2"/>
    <w:rsid w:val="007308BF"/>
    <w:rsid w:val="00735ADC"/>
    <w:rsid w:val="00737C41"/>
    <w:rsid w:val="0074208F"/>
    <w:rsid w:val="007427C3"/>
    <w:rsid w:val="0074382F"/>
    <w:rsid w:val="007446D8"/>
    <w:rsid w:val="007451C4"/>
    <w:rsid w:val="007500BC"/>
    <w:rsid w:val="0075270E"/>
    <w:rsid w:val="00754FB2"/>
    <w:rsid w:val="00756C6E"/>
    <w:rsid w:val="00760892"/>
    <w:rsid w:val="00760928"/>
    <w:rsid w:val="007654ED"/>
    <w:rsid w:val="00765A8B"/>
    <w:rsid w:val="00766162"/>
    <w:rsid w:val="00767804"/>
    <w:rsid w:val="00771AFE"/>
    <w:rsid w:val="00771E22"/>
    <w:rsid w:val="00772945"/>
    <w:rsid w:val="00773269"/>
    <w:rsid w:val="00774357"/>
    <w:rsid w:val="00774E94"/>
    <w:rsid w:val="00775670"/>
    <w:rsid w:val="00781005"/>
    <w:rsid w:val="00783AD3"/>
    <w:rsid w:val="00784035"/>
    <w:rsid w:val="007872FE"/>
    <w:rsid w:val="007A289F"/>
    <w:rsid w:val="007A3262"/>
    <w:rsid w:val="007A3A52"/>
    <w:rsid w:val="007A59A1"/>
    <w:rsid w:val="007A6B4B"/>
    <w:rsid w:val="007B0721"/>
    <w:rsid w:val="007B0B39"/>
    <w:rsid w:val="007B0EC2"/>
    <w:rsid w:val="007B2784"/>
    <w:rsid w:val="007B2B60"/>
    <w:rsid w:val="007C5542"/>
    <w:rsid w:val="007C7785"/>
    <w:rsid w:val="007D1D4F"/>
    <w:rsid w:val="007D40E2"/>
    <w:rsid w:val="007D40F8"/>
    <w:rsid w:val="007D4AA9"/>
    <w:rsid w:val="007D6DFF"/>
    <w:rsid w:val="007E006B"/>
    <w:rsid w:val="007E04EE"/>
    <w:rsid w:val="007E4517"/>
    <w:rsid w:val="007E7D1C"/>
    <w:rsid w:val="007F0DE2"/>
    <w:rsid w:val="007F36DB"/>
    <w:rsid w:val="007F586D"/>
    <w:rsid w:val="007F6508"/>
    <w:rsid w:val="007F68F7"/>
    <w:rsid w:val="00800767"/>
    <w:rsid w:val="008017D8"/>
    <w:rsid w:val="008021AA"/>
    <w:rsid w:val="008058EA"/>
    <w:rsid w:val="008076B5"/>
    <w:rsid w:val="00810933"/>
    <w:rsid w:val="00814C99"/>
    <w:rsid w:val="00816D7D"/>
    <w:rsid w:val="00820856"/>
    <w:rsid w:val="00822EAA"/>
    <w:rsid w:val="008240D4"/>
    <w:rsid w:val="008242C3"/>
    <w:rsid w:val="00832686"/>
    <w:rsid w:val="008333DE"/>
    <w:rsid w:val="00834120"/>
    <w:rsid w:val="00834A9A"/>
    <w:rsid w:val="00835333"/>
    <w:rsid w:val="00836738"/>
    <w:rsid w:val="00836E7F"/>
    <w:rsid w:val="00837783"/>
    <w:rsid w:val="00841832"/>
    <w:rsid w:val="00841906"/>
    <w:rsid w:val="008522B5"/>
    <w:rsid w:val="00852CF5"/>
    <w:rsid w:val="00854BE6"/>
    <w:rsid w:val="00856153"/>
    <w:rsid w:val="00856A6B"/>
    <w:rsid w:val="0085713E"/>
    <w:rsid w:val="00861A4C"/>
    <w:rsid w:val="00862ED8"/>
    <w:rsid w:val="00864597"/>
    <w:rsid w:val="008649BE"/>
    <w:rsid w:val="00866505"/>
    <w:rsid w:val="00866F18"/>
    <w:rsid w:val="0087352B"/>
    <w:rsid w:val="0088021E"/>
    <w:rsid w:val="00880579"/>
    <w:rsid w:val="00882721"/>
    <w:rsid w:val="00884166"/>
    <w:rsid w:val="008875EA"/>
    <w:rsid w:val="008923AC"/>
    <w:rsid w:val="00894EEA"/>
    <w:rsid w:val="008952DA"/>
    <w:rsid w:val="00895BD0"/>
    <w:rsid w:val="00897B5D"/>
    <w:rsid w:val="008A2B07"/>
    <w:rsid w:val="008A3994"/>
    <w:rsid w:val="008A456E"/>
    <w:rsid w:val="008A5BB9"/>
    <w:rsid w:val="008B53FB"/>
    <w:rsid w:val="008B6D9E"/>
    <w:rsid w:val="008C15D9"/>
    <w:rsid w:val="008C1F16"/>
    <w:rsid w:val="008C33C3"/>
    <w:rsid w:val="008C4388"/>
    <w:rsid w:val="008C5274"/>
    <w:rsid w:val="008C769E"/>
    <w:rsid w:val="008C7C01"/>
    <w:rsid w:val="008D1293"/>
    <w:rsid w:val="008D516A"/>
    <w:rsid w:val="008D6FAA"/>
    <w:rsid w:val="008D7B82"/>
    <w:rsid w:val="008E3345"/>
    <w:rsid w:val="008E37B9"/>
    <w:rsid w:val="008E38AB"/>
    <w:rsid w:val="008E4E81"/>
    <w:rsid w:val="008E73CC"/>
    <w:rsid w:val="008F536F"/>
    <w:rsid w:val="008F5BC5"/>
    <w:rsid w:val="008F75B2"/>
    <w:rsid w:val="008F7CEB"/>
    <w:rsid w:val="00900400"/>
    <w:rsid w:val="00900C04"/>
    <w:rsid w:val="00903280"/>
    <w:rsid w:val="0090370D"/>
    <w:rsid w:val="0090478E"/>
    <w:rsid w:val="00904835"/>
    <w:rsid w:val="009049EC"/>
    <w:rsid w:val="009130E2"/>
    <w:rsid w:val="009155D3"/>
    <w:rsid w:val="00922320"/>
    <w:rsid w:val="009233F6"/>
    <w:rsid w:val="00927F73"/>
    <w:rsid w:val="00930E0B"/>
    <w:rsid w:val="009316BD"/>
    <w:rsid w:val="009326E7"/>
    <w:rsid w:val="009351FD"/>
    <w:rsid w:val="00936664"/>
    <w:rsid w:val="00940B90"/>
    <w:rsid w:val="00942EBC"/>
    <w:rsid w:val="0094596E"/>
    <w:rsid w:val="00952CBB"/>
    <w:rsid w:val="00952DF8"/>
    <w:rsid w:val="0095310C"/>
    <w:rsid w:val="0095416B"/>
    <w:rsid w:val="00956AE0"/>
    <w:rsid w:val="00960FCB"/>
    <w:rsid w:val="00962DFF"/>
    <w:rsid w:val="00963C2D"/>
    <w:rsid w:val="00965D43"/>
    <w:rsid w:val="00966C03"/>
    <w:rsid w:val="0097290D"/>
    <w:rsid w:val="00973DB9"/>
    <w:rsid w:val="0098048E"/>
    <w:rsid w:val="00981643"/>
    <w:rsid w:val="009862F7"/>
    <w:rsid w:val="009874C6"/>
    <w:rsid w:val="00987C6A"/>
    <w:rsid w:val="00991D63"/>
    <w:rsid w:val="00993BDA"/>
    <w:rsid w:val="009940FC"/>
    <w:rsid w:val="009950DD"/>
    <w:rsid w:val="009A0820"/>
    <w:rsid w:val="009A13FE"/>
    <w:rsid w:val="009A1912"/>
    <w:rsid w:val="009A72C6"/>
    <w:rsid w:val="009B06D1"/>
    <w:rsid w:val="009B0ECF"/>
    <w:rsid w:val="009B19C5"/>
    <w:rsid w:val="009B285C"/>
    <w:rsid w:val="009B29AE"/>
    <w:rsid w:val="009B5430"/>
    <w:rsid w:val="009B645A"/>
    <w:rsid w:val="009C3407"/>
    <w:rsid w:val="009D19F9"/>
    <w:rsid w:val="009D2893"/>
    <w:rsid w:val="009D35EC"/>
    <w:rsid w:val="009D435A"/>
    <w:rsid w:val="009D457D"/>
    <w:rsid w:val="009D5FA7"/>
    <w:rsid w:val="009D6B19"/>
    <w:rsid w:val="009D78B7"/>
    <w:rsid w:val="009E1AD2"/>
    <w:rsid w:val="009E338E"/>
    <w:rsid w:val="009E4AE9"/>
    <w:rsid w:val="009E4C87"/>
    <w:rsid w:val="009E5BC8"/>
    <w:rsid w:val="009F2619"/>
    <w:rsid w:val="009F3335"/>
    <w:rsid w:val="009F478B"/>
    <w:rsid w:val="00A01804"/>
    <w:rsid w:val="00A02C53"/>
    <w:rsid w:val="00A04664"/>
    <w:rsid w:val="00A0484B"/>
    <w:rsid w:val="00A04EE3"/>
    <w:rsid w:val="00A07C2A"/>
    <w:rsid w:val="00A20C8D"/>
    <w:rsid w:val="00A23D42"/>
    <w:rsid w:val="00A23EE3"/>
    <w:rsid w:val="00A2458F"/>
    <w:rsid w:val="00A25DC1"/>
    <w:rsid w:val="00A27D30"/>
    <w:rsid w:val="00A30834"/>
    <w:rsid w:val="00A31113"/>
    <w:rsid w:val="00A32E9C"/>
    <w:rsid w:val="00A33214"/>
    <w:rsid w:val="00A37E39"/>
    <w:rsid w:val="00A40C55"/>
    <w:rsid w:val="00A422DC"/>
    <w:rsid w:val="00A43731"/>
    <w:rsid w:val="00A4638E"/>
    <w:rsid w:val="00A500E9"/>
    <w:rsid w:val="00A50A99"/>
    <w:rsid w:val="00A50E11"/>
    <w:rsid w:val="00A5313D"/>
    <w:rsid w:val="00A5647E"/>
    <w:rsid w:val="00A56EEB"/>
    <w:rsid w:val="00A6001B"/>
    <w:rsid w:val="00A60258"/>
    <w:rsid w:val="00A61E23"/>
    <w:rsid w:val="00A6360F"/>
    <w:rsid w:val="00A63A3A"/>
    <w:rsid w:val="00A6502C"/>
    <w:rsid w:val="00A726A0"/>
    <w:rsid w:val="00A72F1E"/>
    <w:rsid w:val="00A74522"/>
    <w:rsid w:val="00A76594"/>
    <w:rsid w:val="00A76E9B"/>
    <w:rsid w:val="00A81F8C"/>
    <w:rsid w:val="00A825A3"/>
    <w:rsid w:val="00A91754"/>
    <w:rsid w:val="00A937D9"/>
    <w:rsid w:val="00A947B7"/>
    <w:rsid w:val="00A94ECC"/>
    <w:rsid w:val="00A95633"/>
    <w:rsid w:val="00AA319A"/>
    <w:rsid w:val="00AA4CB6"/>
    <w:rsid w:val="00AA549C"/>
    <w:rsid w:val="00AA6271"/>
    <w:rsid w:val="00AA6D87"/>
    <w:rsid w:val="00AB1FEF"/>
    <w:rsid w:val="00AB3140"/>
    <w:rsid w:val="00AB3CF4"/>
    <w:rsid w:val="00AB4251"/>
    <w:rsid w:val="00AB64F6"/>
    <w:rsid w:val="00AB7054"/>
    <w:rsid w:val="00AC1477"/>
    <w:rsid w:val="00AC6AFD"/>
    <w:rsid w:val="00AD299B"/>
    <w:rsid w:val="00AE1810"/>
    <w:rsid w:val="00AE2F26"/>
    <w:rsid w:val="00AE65C3"/>
    <w:rsid w:val="00AF13BF"/>
    <w:rsid w:val="00AF7A0D"/>
    <w:rsid w:val="00B0110B"/>
    <w:rsid w:val="00B03ED1"/>
    <w:rsid w:val="00B05733"/>
    <w:rsid w:val="00B13589"/>
    <w:rsid w:val="00B14FC5"/>
    <w:rsid w:val="00B15B8D"/>
    <w:rsid w:val="00B15F0C"/>
    <w:rsid w:val="00B17840"/>
    <w:rsid w:val="00B17FB8"/>
    <w:rsid w:val="00B213AF"/>
    <w:rsid w:val="00B23435"/>
    <w:rsid w:val="00B24F6C"/>
    <w:rsid w:val="00B3037F"/>
    <w:rsid w:val="00B30C7B"/>
    <w:rsid w:val="00B31D66"/>
    <w:rsid w:val="00B33DEE"/>
    <w:rsid w:val="00B35552"/>
    <w:rsid w:val="00B35B48"/>
    <w:rsid w:val="00B419C6"/>
    <w:rsid w:val="00B41C8F"/>
    <w:rsid w:val="00B44E06"/>
    <w:rsid w:val="00B4776A"/>
    <w:rsid w:val="00B50344"/>
    <w:rsid w:val="00B50449"/>
    <w:rsid w:val="00B50944"/>
    <w:rsid w:val="00B51FF3"/>
    <w:rsid w:val="00B56375"/>
    <w:rsid w:val="00B57DAB"/>
    <w:rsid w:val="00B61364"/>
    <w:rsid w:val="00B631E9"/>
    <w:rsid w:val="00B64468"/>
    <w:rsid w:val="00B65BD9"/>
    <w:rsid w:val="00B666EB"/>
    <w:rsid w:val="00B70D5E"/>
    <w:rsid w:val="00B71C29"/>
    <w:rsid w:val="00B7438F"/>
    <w:rsid w:val="00B7504B"/>
    <w:rsid w:val="00B753F7"/>
    <w:rsid w:val="00B756ED"/>
    <w:rsid w:val="00B77049"/>
    <w:rsid w:val="00B800CC"/>
    <w:rsid w:val="00B80781"/>
    <w:rsid w:val="00B831C8"/>
    <w:rsid w:val="00B859B4"/>
    <w:rsid w:val="00B85B18"/>
    <w:rsid w:val="00B871A0"/>
    <w:rsid w:val="00B904FF"/>
    <w:rsid w:val="00B92AD8"/>
    <w:rsid w:val="00B9308D"/>
    <w:rsid w:val="00B9770F"/>
    <w:rsid w:val="00BA3DDA"/>
    <w:rsid w:val="00BA642F"/>
    <w:rsid w:val="00BA7D4F"/>
    <w:rsid w:val="00BB1E4D"/>
    <w:rsid w:val="00BB3C3A"/>
    <w:rsid w:val="00BB501E"/>
    <w:rsid w:val="00BB5365"/>
    <w:rsid w:val="00BC00E4"/>
    <w:rsid w:val="00BC0BFB"/>
    <w:rsid w:val="00BC1860"/>
    <w:rsid w:val="00BC4E0B"/>
    <w:rsid w:val="00BC54AA"/>
    <w:rsid w:val="00BD0B5B"/>
    <w:rsid w:val="00BD2DED"/>
    <w:rsid w:val="00BD3750"/>
    <w:rsid w:val="00BD4D25"/>
    <w:rsid w:val="00BD5D24"/>
    <w:rsid w:val="00BD6DEA"/>
    <w:rsid w:val="00BE34D8"/>
    <w:rsid w:val="00BE3EA9"/>
    <w:rsid w:val="00BF0215"/>
    <w:rsid w:val="00BF2C33"/>
    <w:rsid w:val="00BF2DC1"/>
    <w:rsid w:val="00BF549B"/>
    <w:rsid w:val="00C00223"/>
    <w:rsid w:val="00C02671"/>
    <w:rsid w:val="00C05A12"/>
    <w:rsid w:val="00C0644E"/>
    <w:rsid w:val="00C06624"/>
    <w:rsid w:val="00C0736D"/>
    <w:rsid w:val="00C07380"/>
    <w:rsid w:val="00C1065D"/>
    <w:rsid w:val="00C10B53"/>
    <w:rsid w:val="00C12D92"/>
    <w:rsid w:val="00C141D0"/>
    <w:rsid w:val="00C157D1"/>
    <w:rsid w:val="00C22BC7"/>
    <w:rsid w:val="00C2311C"/>
    <w:rsid w:val="00C23930"/>
    <w:rsid w:val="00C3102C"/>
    <w:rsid w:val="00C321FD"/>
    <w:rsid w:val="00C33CFE"/>
    <w:rsid w:val="00C37E7B"/>
    <w:rsid w:val="00C40CC2"/>
    <w:rsid w:val="00C43B6B"/>
    <w:rsid w:val="00C4773F"/>
    <w:rsid w:val="00C50967"/>
    <w:rsid w:val="00C50AA8"/>
    <w:rsid w:val="00C57C11"/>
    <w:rsid w:val="00C60804"/>
    <w:rsid w:val="00C639BA"/>
    <w:rsid w:val="00C65EF7"/>
    <w:rsid w:val="00C7200A"/>
    <w:rsid w:val="00C73B2F"/>
    <w:rsid w:val="00C740E7"/>
    <w:rsid w:val="00C80741"/>
    <w:rsid w:val="00C83E9D"/>
    <w:rsid w:val="00C86451"/>
    <w:rsid w:val="00C8664A"/>
    <w:rsid w:val="00C86E9B"/>
    <w:rsid w:val="00C87BBE"/>
    <w:rsid w:val="00C9064A"/>
    <w:rsid w:val="00C91818"/>
    <w:rsid w:val="00C95AAA"/>
    <w:rsid w:val="00C95FF4"/>
    <w:rsid w:val="00C97137"/>
    <w:rsid w:val="00CA179B"/>
    <w:rsid w:val="00CA2888"/>
    <w:rsid w:val="00CA2BBE"/>
    <w:rsid w:val="00CA3981"/>
    <w:rsid w:val="00CA61B6"/>
    <w:rsid w:val="00CB036F"/>
    <w:rsid w:val="00CB2E68"/>
    <w:rsid w:val="00CB332E"/>
    <w:rsid w:val="00CB3E66"/>
    <w:rsid w:val="00CC10A5"/>
    <w:rsid w:val="00CC2A7E"/>
    <w:rsid w:val="00CC2A97"/>
    <w:rsid w:val="00CC4B9B"/>
    <w:rsid w:val="00CC5D56"/>
    <w:rsid w:val="00CC5DCE"/>
    <w:rsid w:val="00CC6956"/>
    <w:rsid w:val="00CD3786"/>
    <w:rsid w:val="00CD4AB6"/>
    <w:rsid w:val="00CD5B05"/>
    <w:rsid w:val="00CD7587"/>
    <w:rsid w:val="00CE724A"/>
    <w:rsid w:val="00CF21CC"/>
    <w:rsid w:val="00CF4DFF"/>
    <w:rsid w:val="00D024CC"/>
    <w:rsid w:val="00D13A32"/>
    <w:rsid w:val="00D14E75"/>
    <w:rsid w:val="00D1628C"/>
    <w:rsid w:val="00D172EC"/>
    <w:rsid w:val="00D1773D"/>
    <w:rsid w:val="00D24FD2"/>
    <w:rsid w:val="00D263B6"/>
    <w:rsid w:val="00D275FA"/>
    <w:rsid w:val="00D36923"/>
    <w:rsid w:val="00D372FB"/>
    <w:rsid w:val="00D4093B"/>
    <w:rsid w:val="00D41882"/>
    <w:rsid w:val="00D435E8"/>
    <w:rsid w:val="00D43657"/>
    <w:rsid w:val="00D438C0"/>
    <w:rsid w:val="00D444D4"/>
    <w:rsid w:val="00D5317E"/>
    <w:rsid w:val="00D60474"/>
    <w:rsid w:val="00D62296"/>
    <w:rsid w:val="00D67A05"/>
    <w:rsid w:val="00D720E0"/>
    <w:rsid w:val="00D735FF"/>
    <w:rsid w:val="00D73D9E"/>
    <w:rsid w:val="00D751BE"/>
    <w:rsid w:val="00D7779D"/>
    <w:rsid w:val="00D8388F"/>
    <w:rsid w:val="00D90998"/>
    <w:rsid w:val="00D92CBC"/>
    <w:rsid w:val="00D938F3"/>
    <w:rsid w:val="00D950F6"/>
    <w:rsid w:val="00D9772B"/>
    <w:rsid w:val="00D97ED1"/>
    <w:rsid w:val="00DA3556"/>
    <w:rsid w:val="00DA3B90"/>
    <w:rsid w:val="00DA3D5B"/>
    <w:rsid w:val="00DA41E3"/>
    <w:rsid w:val="00DA4E03"/>
    <w:rsid w:val="00DA5AE1"/>
    <w:rsid w:val="00DA5E82"/>
    <w:rsid w:val="00DB0793"/>
    <w:rsid w:val="00DB4483"/>
    <w:rsid w:val="00DB5AA0"/>
    <w:rsid w:val="00DB641D"/>
    <w:rsid w:val="00DB72F9"/>
    <w:rsid w:val="00DC2FB7"/>
    <w:rsid w:val="00DC3E43"/>
    <w:rsid w:val="00DC61D1"/>
    <w:rsid w:val="00DC705C"/>
    <w:rsid w:val="00DD0655"/>
    <w:rsid w:val="00DD3793"/>
    <w:rsid w:val="00DD3C8D"/>
    <w:rsid w:val="00DD4979"/>
    <w:rsid w:val="00DD507C"/>
    <w:rsid w:val="00DD70B3"/>
    <w:rsid w:val="00DE19FA"/>
    <w:rsid w:val="00DE254C"/>
    <w:rsid w:val="00DE341C"/>
    <w:rsid w:val="00DE37E1"/>
    <w:rsid w:val="00DE4889"/>
    <w:rsid w:val="00DE6244"/>
    <w:rsid w:val="00DF192F"/>
    <w:rsid w:val="00DF39F7"/>
    <w:rsid w:val="00DF3B86"/>
    <w:rsid w:val="00DF5565"/>
    <w:rsid w:val="00DF64A6"/>
    <w:rsid w:val="00E00054"/>
    <w:rsid w:val="00E131C0"/>
    <w:rsid w:val="00E2135B"/>
    <w:rsid w:val="00E241A9"/>
    <w:rsid w:val="00E24EAA"/>
    <w:rsid w:val="00E32CA6"/>
    <w:rsid w:val="00E344E8"/>
    <w:rsid w:val="00E35436"/>
    <w:rsid w:val="00E3578F"/>
    <w:rsid w:val="00E40405"/>
    <w:rsid w:val="00E43342"/>
    <w:rsid w:val="00E4497E"/>
    <w:rsid w:val="00E44B10"/>
    <w:rsid w:val="00E46D76"/>
    <w:rsid w:val="00E47B0F"/>
    <w:rsid w:val="00E51045"/>
    <w:rsid w:val="00E5136A"/>
    <w:rsid w:val="00E52A27"/>
    <w:rsid w:val="00E56B36"/>
    <w:rsid w:val="00E61085"/>
    <w:rsid w:val="00E61363"/>
    <w:rsid w:val="00E67FEF"/>
    <w:rsid w:val="00E75A5C"/>
    <w:rsid w:val="00E77092"/>
    <w:rsid w:val="00E773FC"/>
    <w:rsid w:val="00E774FB"/>
    <w:rsid w:val="00E80426"/>
    <w:rsid w:val="00E82E1D"/>
    <w:rsid w:val="00E82E52"/>
    <w:rsid w:val="00E8425C"/>
    <w:rsid w:val="00E84325"/>
    <w:rsid w:val="00E86C70"/>
    <w:rsid w:val="00E91E9B"/>
    <w:rsid w:val="00E9357E"/>
    <w:rsid w:val="00E947C3"/>
    <w:rsid w:val="00E94F51"/>
    <w:rsid w:val="00E9639F"/>
    <w:rsid w:val="00E97BDF"/>
    <w:rsid w:val="00EA1C14"/>
    <w:rsid w:val="00EA31FB"/>
    <w:rsid w:val="00EA45EB"/>
    <w:rsid w:val="00EA474A"/>
    <w:rsid w:val="00EA612B"/>
    <w:rsid w:val="00EA7F52"/>
    <w:rsid w:val="00EB089B"/>
    <w:rsid w:val="00EB26E1"/>
    <w:rsid w:val="00EB386C"/>
    <w:rsid w:val="00EB6676"/>
    <w:rsid w:val="00EC1DEF"/>
    <w:rsid w:val="00ED07E9"/>
    <w:rsid w:val="00ED3E9D"/>
    <w:rsid w:val="00ED5E92"/>
    <w:rsid w:val="00ED64D5"/>
    <w:rsid w:val="00ED65E3"/>
    <w:rsid w:val="00ED6BD3"/>
    <w:rsid w:val="00ED6C63"/>
    <w:rsid w:val="00ED78FD"/>
    <w:rsid w:val="00EE0179"/>
    <w:rsid w:val="00EE094A"/>
    <w:rsid w:val="00EE0B32"/>
    <w:rsid w:val="00EE314F"/>
    <w:rsid w:val="00EE35C4"/>
    <w:rsid w:val="00EE3EC9"/>
    <w:rsid w:val="00EE4A27"/>
    <w:rsid w:val="00EE5818"/>
    <w:rsid w:val="00EF0878"/>
    <w:rsid w:val="00EF2186"/>
    <w:rsid w:val="00EF3BD8"/>
    <w:rsid w:val="00EF4FE7"/>
    <w:rsid w:val="00EF69CF"/>
    <w:rsid w:val="00EF6FDF"/>
    <w:rsid w:val="00F014D9"/>
    <w:rsid w:val="00F020E2"/>
    <w:rsid w:val="00F02C5A"/>
    <w:rsid w:val="00F0667E"/>
    <w:rsid w:val="00F067BE"/>
    <w:rsid w:val="00F102F9"/>
    <w:rsid w:val="00F12441"/>
    <w:rsid w:val="00F12F9F"/>
    <w:rsid w:val="00F14433"/>
    <w:rsid w:val="00F144BD"/>
    <w:rsid w:val="00F151D9"/>
    <w:rsid w:val="00F15E05"/>
    <w:rsid w:val="00F1676F"/>
    <w:rsid w:val="00F17A59"/>
    <w:rsid w:val="00F21653"/>
    <w:rsid w:val="00F21E05"/>
    <w:rsid w:val="00F229D1"/>
    <w:rsid w:val="00F22CAD"/>
    <w:rsid w:val="00F25DC2"/>
    <w:rsid w:val="00F27C41"/>
    <w:rsid w:val="00F311D1"/>
    <w:rsid w:val="00F35DDD"/>
    <w:rsid w:val="00F408BA"/>
    <w:rsid w:val="00F409D3"/>
    <w:rsid w:val="00F4564E"/>
    <w:rsid w:val="00F46E90"/>
    <w:rsid w:val="00F46FC2"/>
    <w:rsid w:val="00F513F9"/>
    <w:rsid w:val="00F51432"/>
    <w:rsid w:val="00F51B9A"/>
    <w:rsid w:val="00F55199"/>
    <w:rsid w:val="00F620DC"/>
    <w:rsid w:val="00F71BE1"/>
    <w:rsid w:val="00F73F29"/>
    <w:rsid w:val="00F7546B"/>
    <w:rsid w:val="00F820D8"/>
    <w:rsid w:val="00F83532"/>
    <w:rsid w:val="00F84CD8"/>
    <w:rsid w:val="00F852C0"/>
    <w:rsid w:val="00F9093E"/>
    <w:rsid w:val="00F9186B"/>
    <w:rsid w:val="00F94226"/>
    <w:rsid w:val="00F95CAA"/>
    <w:rsid w:val="00F95FD4"/>
    <w:rsid w:val="00F96B76"/>
    <w:rsid w:val="00F96F9E"/>
    <w:rsid w:val="00F97904"/>
    <w:rsid w:val="00FA160D"/>
    <w:rsid w:val="00FA738A"/>
    <w:rsid w:val="00FB0049"/>
    <w:rsid w:val="00FB2161"/>
    <w:rsid w:val="00FB2427"/>
    <w:rsid w:val="00FB4363"/>
    <w:rsid w:val="00FB4937"/>
    <w:rsid w:val="00FB5245"/>
    <w:rsid w:val="00FC1FB5"/>
    <w:rsid w:val="00FC2177"/>
    <w:rsid w:val="00FC2C99"/>
    <w:rsid w:val="00FC3BE0"/>
    <w:rsid w:val="00FC6BB6"/>
    <w:rsid w:val="00FD05BC"/>
    <w:rsid w:val="00FD5AFC"/>
    <w:rsid w:val="00FE241E"/>
    <w:rsid w:val="00FE311C"/>
    <w:rsid w:val="00FE3393"/>
    <w:rsid w:val="00FE55C6"/>
    <w:rsid w:val="00FF34BE"/>
    <w:rsid w:val="00FF3E3C"/>
    <w:rsid w:val="00FF3E7D"/>
    <w:rsid w:val="00FF5821"/>
    <w:rsid w:val="00FF5F6D"/>
    <w:rsid w:val="00FF694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2020-10-11T16:56:00Z</dcterms:created>
  <dcterms:modified xsi:type="dcterms:W3CDTF">2020-10-11T16:57:00Z</dcterms:modified>
</cp:coreProperties>
</file>