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C4CC3" w14:textId="77777777" w:rsidR="00DF6AF6" w:rsidRPr="00DF6AF6" w:rsidRDefault="00DF6AF6" w:rsidP="00DF6AF6">
      <w:pPr>
        <w:spacing w:line="480" w:lineRule="auto"/>
        <w:jc w:val="center"/>
        <w:rPr>
          <w:rFonts w:ascii="Times New Roman" w:hAnsi="Times New Roman" w:cs="Times New Roman"/>
          <w:b/>
          <w:sz w:val="28"/>
          <w:szCs w:val="28"/>
        </w:rPr>
      </w:pPr>
      <w:r w:rsidRPr="00DF6AF6">
        <w:rPr>
          <w:rFonts w:ascii="Times New Roman" w:hAnsi="Times New Roman" w:cs="Times New Roman"/>
          <w:b/>
          <w:sz w:val="28"/>
          <w:szCs w:val="28"/>
        </w:rPr>
        <w:t>DELEGATED LEGISLATION</w:t>
      </w:r>
    </w:p>
    <w:p w14:paraId="2DA9C289" w14:textId="4980CCCC" w:rsidR="00DF6AF6" w:rsidRPr="00DF6AF6" w:rsidRDefault="00DF6AF6" w:rsidP="00DF6AF6">
      <w:pPr>
        <w:spacing w:line="480" w:lineRule="auto"/>
        <w:jc w:val="center"/>
        <w:rPr>
          <w:rFonts w:ascii="Times New Roman" w:hAnsi="Times New Roman" w:cs="Times New Roman"/>
          <w:b/>
          <w:bCs/>
          <w:color w:val="538135" w:themeColor="accent6" w:themeShade="BF"/>
          <w:sz w:val="28"/>
          <w:szCs w:val="28"/>
        </w:rPr>
      </w:pPr>
      <w:r w:rsidRPr="00DF6AF6">
        <w:rPr>
          <w:rFonts w:ascii="Times New Roman" w:hAnsi="Times New Roman" w:cs="Times New Roman"/>
          <w:b/>
          <w:bCs/>
          <w:color w:val="538135" w:themeColor="accent6" w:themeShade="BF"/>
          <w:sz w:val="28"/>
          <w:szCs w:val="28"/>
        </w:rPr>
        <w:t>Topic</w:t>
      </w:r>
    </w:p>
    <w:p w14:paraId="6498D89C" w14:textId="77777777" w:rsidR="00DF6AF6" w:rsidRPr="00DF6AF6" w:rsidRDefault="00DF6AF6" w:rsidP="00DF6AF6">
      <w:pPr>
        <w:spacing w:line="480" w:lineRule="auto"/>
        <w:jc w:val="center"/>
        <w:rPr>
          <w:rFonts w:ascii="Times New Roman" w:hAnsi="Times New Roman" w:cs="Times New Roman"/>
          <w:b/>
          <w:color w:val="222222"/>
          <w:sz w:val="28"/>
          <w:szCs w:val="28"/>
        </w:rPr>
      </w:pPr>
      <w:r w:rsidRPr="00DF6AF6">
        <w:rPr>
          <w:rFonts w:ascii="Times New Roman" w:hAnsi="Times New Roman" w:cs="Times New Roman"/>
          <w:b/>
          <w:color w:val="222222"/>
          <w:sz w:val="28"/>
          <w:szCs w:val="28"/>
        </w:rPr>
        <w:t>IMPORTANT CASE LAWS ON DELEGATED LEGISLATION</w:t>
      </w:r>
    </w:p>
    <w:p w14:paraId="56BAC684" w14:textId="77777777" w:rsidR="00DF6AF6" w:rsidRPr="00DF6AF6" w:rsidRDefault="00DF6AF6" w:rsidP="00DF6AF6">
      <w:pPr>
        <w:spacing w:line="480" w:lineRule="auto"/>
        <w:jc w:val="center"/>
        <w:rPr>
          <w:rFonts w:ascii="Times New Roman" w:hAnsi="Times New Roman" w:cs="Times New Roman"/>
          <w:b/>
          <w:bCs/>
          <w:color w:val="538135" w:themeColor="accent6" w:themeShade="BF"/>
          <w:sz w:val="28"/>
          <w:szCs w:val="28"/>
        </w:rPr>
      </w:pPr>
      <w:r w:rsidRPr="00DF6AF6">
        <w:rPr>
          <w:rFonts w:ascii="Times New Roman" w:hAnsi="Times New Roman" w:cs="Times New Roman"/>
          <w:b/>
          <w:color w:val="222222"/>
          <w:sz w:val="28"/>
          <w:szCs w:val="28"/>
        </w:rPr>
        <w:t>-------------------------------------------------------------------</w:t>
      </w:r>
    </w:p>
    <w:p w14:paraId="565E9ABB" w14:textId="77777777" w:rsidR="00DF6AF6" w:rsidRPr="00DF6AF6" w:rsidRDefault="00DF6AF6" w:rsidP="00DF6AF6">
      <w:pPr>
        <w:spacing w:line="480" w:lineRule="auto"/>
        <w:rPr>
          <w:rFonts w:ascii="Times New Roman" w:hAnsi="Times New Roman" w:cs="Times New Roman"/>
          <w:sz w:val="28"/>
          <w:szCs w:val="28"/>
        </w:rPr>
      </w:pPr>
      <w:r w:rsidRPr="00DF6AF6">
        <w:rPr>
          <w:rFonts w:ascii="Times New Roman" w:hAnsi="Times New Roman" w:cs="Times New Roman"/>
          <w:sz w:val="28"/>
          <w:szCs w:val="28"/>
        </w:rPr>
        <w:t>CONSTITUTIONALITY OF DELEGATED LEGISLATION IN INDIA</w:t>
      </w:r>
    </w:p>
    <w:p w14:paraId="0662DD8A" w14:textId="77777777" w:rsidR="00DF6AF6" w:rsidRPr="00DF6AF6" w:rsidRDefault="00DF6AF6" w:rsidP="00DF6AF6">
      <w:pPr>
        <w:pStyle w:val="NormalWeb"/>
        <w:spacing w:after="225" w:afterAutospacing="0" w:line="480" w:lineRule="auto"/>
        <w:jc w:val="both"/>
        <w:rPr>
          <w:sz w:val="28"/>
          <w:szCs w:val="28"/>
        </w:rPr>
      </w:pPr>
      <w:r w:rsidRPr="00DF6AF6">
        <w:rPr>
          <w:b/>
          <w:bCs/>
          <w:color w:val="4472C4" w:themeColor="accent1"/>
          <w:sz w:val="28"/>
          <w:szCs w:val="28"/>
        </w:rPr>
        <w:t>Pre-Independence</w:t>
      </w:r>
      <w:r w:rsidRPr="00DF6AF6">
        <w:rPr>
          <w:sz w:val="28"/>
          <w:szCs w:val="28"/>
        </w:rPr>
        <w:t xml:space="preserve">: </w:t>
      </w:r>
    </w:p>
    <w:p w14:paraId="19D9B64D" w14:textId="77777777" w:rsidR="00DF6AF6" w:rsidRPr="00DF6AF6" w:rsidRDefault="00DF6AF6" w:rsidP="00DF6AF6">
      <w:pPr>
        <w:pStyle w:val="NormalWeb"/>
        <w:spacing w:after="225" w:afterAutospacing="0" w:line="480" w:lineRule="auto"/>
        <w:jc w:val="both"/>
        <w:rPr>
          <w:sz w:val="28"/>
          <w:szCs w:val="28"/>
        </w:rPr>
      </w:pPr>
      <w:r w:rsidRPr="00DF6AF6">
        <w:rPr>
          <w:b/>
          <w:bCs/>
          <w:i/>
          <w:iCs/>
          <w:sz w:val="28"/>
          <w:szCs w:val="28"/>
        </w:rPr>
        <w:t xml:space="preserve">Queen v. </w:t>
      </w:r>
      <w:proofErr w:type="spellStart"/>
      <w:r w:rsidRPr="00DF6AF6">
        <w:rPr>
          <w:b/>
          <w:bCs/>
          <w:i/>
          <w:iCs/>
          <w:sz w:val="28"/>
          <w:szCs w:val="28"/>
        </w:rPr>
        <w:t>Burah</w:t>
      </w:r>
      <w:proofErr w:type="spellEnd"/>
      <w:r w:rsidRPr="00DF6AF6">
        <w:rPr>
          <w:rStyle w:val="FootnoteReference"/>
          <w:b/>
          <w:bCs/>
          <w:i/>
          <w:iCs/>
          <w:sz w:val="28"/>
          <w:szCs w:val="28"/>
        </w:rPr>
        <w:footnoteReference w:id="1"/>
      </w:r>
      <w:r w:rsidRPr="00DF6AF6">
        <w:rPr>
          <w:sz w:val="28"/>
          <w:szCs w:val="28"/>
        </w:rPr>
        <w:t xml:space="preserve"> </w:t>
      </w:r>
    </w:p>
    <w:p w14:paraId="5033602B" w14:textId="77777777" w:rsidR="00DF6AF6" w:rsidRPr="00DF6AF6" w:rsidRDefault="00DF6AF6" w:rsidP="00DF6AF6">
      <w:pPr>
        <w:pStyle w:val="NormalWeb"/>
        <w:spacing w:after="225" w:afterAutospacing="0" w:line="480" w:lineRule="auto"/>
        <w:jc w:val="both"/>
        <w:rPr>
          <w:color w:val="292929"/>
          <w:sz w:val="28"/>
          <w:szCs w:val="28"/>
        </w:rPr>
      </w:pPr>
      <w:r w:rsidRPr="00DF6AF6">
        <w:rPr>
          <w:color w:val="292929"/>
          <w:sz w:val="28"/>
          <w:szCs w:val="28"/>
        </w:rPr>
        <w:t xml:space="preserve">The authority regarding delegated legislation in the pre-independence period was primarily held by </w:t>
      </w:r>
      <w:r w:rsidRPr="00DF6AF6">
        <w:rPr>
          <w:i/>
          <w:iCs/>
          <w:color w:val="292929"/>
          <w:sz w:val="28"/>
          <w:szCs w:val="28"/>
        </w:rPr>
        <w:t>Queen</w:t>
      </w:r>
      <w:r w:rsidRPr="00DF6AF6">
        <w:rPr>
          <w:color w:val="292929"/>
          <w:sz w:val="28"/>
          <w:szCs w:val="28"/>
        </w:rPr>
        <w:t xml:space="preserve"> v. </w:t>
      </w:r>
      <w:proofErr w:type="spellStart"/>
      <w:r w:rsidRPr="00DF6AF6">
        <w:rPr>
          <w:i/>
          <w:iCs/>
          <w:color w:val="292929"/>
          <w:sz w:val="28"/>
          <w:szCs w:val="28"/>
        </w:rPr>
        <w:t>Burah</w:t>
      </w:r>
      <w:proofErr w:type="spellEnd"/>
      <w:r w:rsidRPr="00DF6AF6">
        <w:rPr>
          <w:i/>
          <w:iCs/>
          <w:color w:val="292929"/>
          <w:sz w:val="28"/>
          <w:szCs w:val="28"/>
        </w:rPr>
        <w:t xml:space="preserve">. </w:t>
      </w:r>
      <w:r w:rsidRPr="00DF6AF6">
        <w:rPr>
          <w:color w:val="292929"/>
          <w:sz w:val="28"/>
          <w:szCs w:val="28"/>
        </w:rPr>
        <w:t xml:space="preserve">In this case, the Act in question (Act XXII of 1869) deals with the Governor General’s power to bring the Act in effect, determine what laws were to be applicable and the power to extend application of provisions of the Act. Here an Act was passed by the Indian legislature to remove Garo Hills from the civil and criminal jurisdiction of Bengal and vested the powers of civil and criminal administration in an officer appointed by the Lt. Governor of Bengal. The Lt. Governor was further authorized by S.8 of the Act to extend any provision of this Act with incidental changes to Khasi and </w:t>
      </w:r>
      <w:proofErr w:type="spellStart"/>
      <w:r w:rsidRPr="00DF6AF6">
        <w:rPr>
          <w:color w:val="292929"/>
          <w:sz w:val="28"/>
          <w:szCs w:val="28"/>
        </w:rPr>
        <w:t>Jaintia</w:t>
      </w:r>
      <w:proofErr w:type="spellEnd"/>
      <w:r w:rsidRPr="00DF6AF6">
        <w:rPr>
          <w:color w:val="292929"/>
          <w:sz w:val="28"/>
          <w:szCs w:val="28"/>
        </w:rPr>
        <w:t xml:space="preserve"> Hills. One </w:t>
      </w:r>
      <w:proofErr w:type="spellStart"/>
      <w:r w:rsidRPr="00DF6AF6">
        <w:rPr>
          <w:color w:val="292929"/>
          <w:sz w:val="28"/>
          <w:szCs w:val="28"/>
        </w:rPr>
        <w:t>Burah</w:t>
      </w:r>
      <w:proofErr w:type="spellEnd"/>
      <w:r w:rsidRPr="00DF6AF6">
        <w:rPr>
          <w:color w:val="292929"/>
          <w:sz w:val="28"/>
          <w:szCs w:val="28"/>
        </w:rPr>
        <w:t xml:space="preserve"> was tried for murder by the Commissioner of Khasi and </w:t>
      </w:r>
      <w:proofErr w:type="spellStart"/>
      <w:r w:rsidRPr="00DF6AF6">
        <w:rPr>
          <w:color w:val="292929"/>
          <w:sz w:val="28"/>
          <w:szCs w:val="28"/>
        </w:rPr>
        <w:t>Jaintia</w:t>
      </w:r>
      <w:proofErr w:type="spellEnd"/>
      <w:r w:rsidRPr="00DF6AF6">
        <w:rPr>
          <w:color w:val="292929"/>
          <w:sz w:val="28"/>
          <w:szCs w:val="28"/>
        </w:rPr>
        <w:t xml:space="preserve"> Hills and was sentenced to death.</w:t>
      </w:r>
    </w:p>
    <w:p w14:paraId="5DFD344D" w14:textId="77777777" w:rsidR="00DF6AF6" w:rsidRPr="00DF6AF6" w:rsidRDefault="00DF6AF6" w:rsidP="00DF6AF6">
      <w:pPr>
        <w:spacing w:before="100" w:beforeAutospacing="1" w:after="225" w:line="480" w:lineRule="auto"/>
        <w:jc w:val="both"/>
        <w:rPr>
          <w:rFonts w:ascii="Times New Roman" w:eastAsia="Times New Roman" w:hAnsi="Times New Roman" w:cs="Times New Roman"/>
          <w:color w:val="292929"/>
          <w:sz w:val="28"/>
          <w:szCs w:val="28"/>
          <w:lang w:eastAsia="en-IN"/>
        </w:rPr>
      </w:pPr>
      <w:r w:rsidRPr="00DF6AF6">
        <w:rPr>
          <w:rFonts w:ascii="Times New Roman" w:eastAsia="Times New Roman" w:hAnsi="Times New Roman" w:cs="Times New Roman"/>
          <w:color w:val="292929"/>
          <w:sz w:val="28"/>
          <w:szCs w:val="28"/>
          <w:lang w:eastAsia="en-IN"/>
        </w:rPr>
        <w:t xml:space="preserve">The question was whether these functions would be categorized as delegated legislation. The court held that the above-mentioned powers were conferred only on the fulfilment </w:t>
      </w:r>
      <w:r w:rsidRPr="00DF6AF6">
        <w:rPr>
          <w:rFonts w:ascii="Times New Roman" w:eastAsia="Times New Roman" w:hAnsi="Times New Roman" w:cs="Times New Roman"/>
          <w:color w:val="292929"/>
          <w:sz w:val="28"/>
          <w:szCs w:val="28"/>
          <w:lang w:eastAsia="en-IN"/>
        </w:rPr>
        <w:lastRenderedPageBreak/>
        <w:t xml:space="preserve">of certain conditions and hence this was </w:t>
      </w:r>
      <w:r w:rsidRPr="00DF6AF6">
        <w:rPr>
          <w:rFonts w:ascii="Times New Roman" w:eastAsia="Times New Roman" w:hAnsi="Times New Roman" w:cs="Times New Roman"/>
          <w:b/>
          <w:bCs/>
          <w:color w:val="292929"/>
          <w:sz w:val="28"/>
          <w:szCs w:val="28"/>
          <w:lang w:eastAsia="en-IN"/>
        </w:rPr>
        <w:t>conditional legislation</w:t>
      </w:r>
      <w:r w:rsidRPr="00DF6AF6">
        <w:rPr>
          <w:rFonts w:ascii="Times New Roman" w:eastAsia="Times New Roman" w:hAnsi="Times New Roman" w:cs="Times New Roman"/>
          <w:color w:val="292929"/>
          <w:sz w:val="28"/>
          <w:szCs w:val="28"/>
          <w:lang w:eastAsia="en-IN"/>
        </w:rPr>
        <w:t xml:space="preserve">, a concept </w:t>
      </w:r>
      <w:proofErr w:type="spellStart"/>
      <w:r w:rsidRPr="00DF6AF6">
        <w:rPr>
          <w:rFonts w:ascii="Times New Roman" w:eastAsia="Times New Roman" w:hAnsi="Times New Roman" w:cs="Times New Roman"/>
          <w:color w:val="292929"/>
          <w:sz w:val="28"/>
          <w:szCs w:val="28"/>
          <w:lang w:eastAsia="en-IN"/>
        </w:rPr>
        <w:t>all together</w:t>
      </w:r>
      <w:proofErr w:type="spellEnd"/>
      <w:r w:rsidRPr="00DF6AF6">
        <w:rPr>
          <w:rFonts w:ascii="Times New Roman" w:eastAsia="Times New Roman" w:hAnsi="Times New Roman" w:cs="Times New Roman"/>
          <w:color w:val="292929"/>
          <w:sz w:val="28"/>
          <w:szCs w:val="28"/>
          <w:lang w:eastAsia="en-IN"/>
        </w:rPr>
        <w:t xml:space="preserve"> different from delegated legislation. The court also stated that “It is a general principle of law in India that any substantial delegation of legislative authority by the legislature of the country is void”. The case thus lays down that substantive delegation </w:t>
      </w:r>
      <w:proofErr w:type="gramStart"/>
      <w:r w:rsidRPr="00DF6AF6">
        <w:rPr>
          <w:rFonts w:ascii="Times New Roman" w:eastAsia="Times New Roman" w:hAnsi="Times New Roman" w:cs="Times New Roman"/>
          <w:color w:val="292929"/>
          <w:sz w:val="28"/>
          <w:szCs w:val="28"/>
          <w:lang w:eastAsia="en-IN"/>
        </w:rPr>
        <w:t>i.e.</w:t>
      </w:r>
      <w:proofErr w:type="gramEnd"/>
      <w:r w:rsidRPr="00DF6AF6">
        <w:rPr>
          <w:rFonts w:ascii="Times New Roman" w:eastAsia="Times New Roman" w:hAnsi="Times New Roman" w:cs="Times New Roman"/>
          <w:color w:val="292929"/>
          <w:sz w:val="28"/>
          <w:szCs w:val="28"/>
          <w:lang w:eastAsia="en-IN"/>
        </w:rPr>
        <w:t xml:space="preserve"> delegation if the important functions are void in India and that delegation, if at all possible, would have to be conditional.</w:t>
      </w:r>
    </w:p>
    <w:p w14:paraId="55CC5047" w14:textId="77777777" w:rsidR="00DF6AF6" w:rsidRPr="00DF6AF6" w:rsidRDefault="00DF6AF6" w:rsidP="00DF6AF6">
      <w:pPr>
        <w:spacing w:before="100" w:beforeAutospacing="1" w:after="225" w:line="480" w:lineRule="auto"/>
        <w:jc w:val="both"/>
        <w:rPr>
          <w:rFonts w:ascii="Times New Roman" w:hAnsi="Times New Roman" w:cs="Times New Roman"/>
          <w:sz w:val="28"/>
          <w:szCs w:val="28"/>
        </w:rPr>
      </w:pPr>
      <w:r w:rsidRPr="00DF6AF6">
        <w:rPr>
          <w:rFonts w:ascii="Times New Roman" w:hAnsi="Times New Roman" w:cs="Times New Roman"/>
          <w:sz w:val="28"/>
          <w:szCs w:val="28"/>
        </w:rPr>
        <w:t>In</w:t>
      </w:r>
      <w:r w:rsidRPr="00DF6AF6">
        <w:rPr>
          <w:rFonts w:ascii="Times New Roman" w:hAnsi="Times New Roman" w:cs="Times New Roman"/>
          <w:b/>
          <w:bCs/>
          <w:i/>
          <w:iCs/>
          <w:sz w:val="28"/>
          <w:szCs w:val="28"/>
        </w:rPr>
        <w:t xml:space="preserve"> King v. </w:t>
      </w:r>
      <w:proofErr w:type="spellStart"/>
      <w:r w:rsidRPr="00DF6AF6">
        <w:rPr>
          <w:rFonts w:ascii="Times New Roman" w:hAnsi="Times New Roman" w:cs="Times New Roman"/>
          <w:b/>
          <w:bCs/>
          <w:i/>
          <w:iCs/>
          <w:sz w:val="28"/>
          <w:szCs w:val="28"/>
        </w:rPr>
        <w:t>Benoari</w:t>
      </w:r>
      <w:proofErr w:type="spellEnd"/>
      <w:r w:rsidRPr="00DF6AF6">
        <w:rPr>
          <w:rFonts w:ascii="Times New Roman" w:hAnsi="Times New Roman" w:cs="Times New Roman"/>
          <w:b/>
          <w:bCs/>
          <w:i/>
          <w:iCs/>
          <w:sz w:val="28"/>
          <w:szCs w:val="28"/>
        </w:rPr>
        <w:t xml:space="preserve"> Lal Sharma</w:t>
      </w:r>
      <w:r w:rsidRPr="00DF6AF6">
        <w:rPr>
          <w:rFonts w:ascii="Times New Roman" w:hAnsi="Times New Roman" w:cs="Times New Roman"/>
          <w:sz w:val="28"/>
          <w:szCs w:val="28"/>
        </w:rPr>
        <w:t xml:space="preserve"> </w:t>
      </w:r>
    </w:p>
    <w:p w14:paraId="1A3099A0" w14:textId="77777777" w:rsidR="00DF6AF6" w:rsidRPr="00DF6AF6" w:rsidRDefault="00DF6AF6" w:rsidP="00DF6AF6">
      <w:pPr>
        <w:spacing w:before="100" w:beforeAutospacing="1" w:after="225" w:line="480" w:lineRule="auto"/>
        <w:jc w:val="both"/>
        <w:rPr>
          <w:rFonts w:ascii="Times New Roman" w:hAnsi="Times New Roman" w:cs="Times New Roman"/>
          <w:sz w:val="28"/>
          <w:szCs w:val="28"/>
          <w:lang w:eastAsia="en-IN"/>
        </w:rPr>
      </w:pPr>
      <w:r w:rsidRPr="00DF6AF6">
        <w:rPr>
          <w:rFonts w:ascii="Times New Roman" w:hAnsi="Times New Roman" w:cs="Times New Roman"/>
          <w:sz w:val="28"/>
          <w:szCs w:val="28"/>
        </w:rPr>
        <w:t xml:space="preserve">Conditional legislation was again applied by the privy council wherein the validity of an emergency ordinance by the Governor-General of India was challenged inter alia on the ground that it provided for setting up of special criminal courts for particular kinds of offences, but the actual setting up of the courts was left to the Provincial Governments which were authorised to set them up at such time and place as they considered proper. The Judicial Committee held that "this is not delegated legislation at all. It is merely an example of the not uncommon legislative power by which the local application of the provisions of a statute is determined by the judgment of a local administrative body as to its necessity." The privy council held that “Local application of the provision of a state is determined by the judgment of a local administrative body as to its necessity.” </w:t>
      </w:r>
    </w:p>
    <w:p w14:paraId="55823CD5" w14:textId="77777777" w:rsidR="00DF6AF6" w:rsidRPr="00DF6AF6" w:rsidRDefault="00DF6AF6" w:rsidP="00DF6AF6">
      <w:pPr>
        <w:spacing w:line="480" w:lineRule="auto"/>
        <w:rPr>
          <w:rFonts w:ascii="Times New Roman" w:hAnsi="Times New Roman" w:cs="Times New Roman"/>
          <w:b/>
          <w:bCs/>
          <w:color w:val="4472C4" w:themeColor="accent1"/>
          <w:sz w:val="28"/>
          <w:szCs w:val="28"/>
        </w:rPr>
      </w:pPr>
      <w:r w:rsidRPr="00DF6AF6">
        <w:rPr>
          <w:rFonts w:ascii="Times New Roman" w:hAnsi="Times New Roman" w:cs="Times New Roman"/>
          <w:b/>
          <w:bCs/>
          <w:color w:val="4472C4" w:themeColor="accent1"/>
          <w:sz w:val="28"/>
          <w:szCs w:val="28"/>
        </w:rPr>
        <w:t>Post-Independence:</w:t>
      </w:r>
    </w:p>
    <w:p w14:paraId="00648994" w14:textId="77777777" w:rsidR="00DF6AF6" w:rsidRPr="00DF6AF6" w:rsidRDefault="00DF6AF6" w:rsidP="00DF6AF6">
      <w:pPr>
        <w:spacing w:line="480" w:lineRule="auto"/>
        <w:rPr>
          <w:rFonts w:ascii="Times New Roman" w:hAnsi="Times New Roman" w:cs="Times New Roman"/>
          <w:b/>
          <w:bCs/>
          <w:color w:val="4472C4" w:themeColor="accent1"/>
          <w:sz w:val="28"/>
          <w:szCs w:val="28"/>
        </w:rPr>
      </w:pPr>
      <w:r w:rsidRPr="00DF6AF6">
        <w:rPr>
          <w:rFonts w:ascii="Times New Roman" w:hAnsi="Times New Roman" w:cs="Times New Roman"/>
          <w:b/>
          <w:bCs/>
          <w:color w:val="000000"/>
          <w:sz w:val="28"/>
          <w:szCs w:val="28"/>
          <w:shd w:val="clear" w:color="auto" w:fill="FFFFFF"/>
        </w:rPr>
        <w:t>In Re Delhi Laws Act, 1912</w:t>
      </w:r>
    </w:p>
    <w:p w14:paraId="2BFEB035" w14:textId="77777777" w:rsidR="00DF6AF6" w:rsidRPr="00DF6AF6" w:rsidRDefault="00DF6AF6" w:rsidP="00DF6AF6">
      <w:pPr>
        <w:spacing w:line="480" w:lineRule="auto"/>
        <w:jc w:val="both"/>
        <w:rPr>
          <w:rFonts w:ascii="Times New Roman" w:hAnsi="Times New Roman" w:cs="Times New Roman"/>
          <w:sz w:val="28"/>
          <w:szCs w:val="28"/>
        </w:rPr>
      </w:pPr>
      <w:r w:rsidRPr="00DF6AF6">
        <w:rPr>
          <w:rFonts w:ascii="Times New Roman" w:hAnsi="Times New Roman" w:cs="Times New Roman"/>
          <w:sz w:val="28"/>
          <w:szCs w:val="28"/>
        </w:rPr>
        <w:t xml:space="preserve">The </w:t>
      </w:r>
      <w:r w:rsidRPr="00DF6AF6">
        <w:rPr>
          <w:rFonts w:ascii="Times New Roman" w:hAnsi="Times New Roman" w:cs="Times New Roman"/>
          <w:b/>
          <w:bCs/>
          <w:sz w:val="28"/>
          <w:szCs w:val="28"/>
        </w:rPr>
        <w:t>Delhi Laws Act, 1912</w:t>
      </w:r>
      <w:r w:rsidRPr="00DF6AF6">
        <w:rPr>
          <w:rFonts w:ascii="Times New Roman" w:hAnsi="Times New Roman" w:cs="Times New Roman"/>
          <w:sz w:val="28"/>
          <w:szCs w:val="28"/>
        </w:rPr>
        <w:t>, giving power to the Government to extend to Delhi and Ajmer-</w:t>
      </w:r>
      <w:proofErr w:type="spellStart"/>
      <w:r w:rsidRPr="00DF6AF6">
        <w:rPr>
          <w:rFonts w:ascii="Times New Roman" w:hAnsi="Times New Roman" w:cs="Times New Roman"/>
          <w:sz w:val="28"/>
          <w:szCs w:val="28"/>
        </w:rPr>
        <w:t>Marwar</w:t>
      </w:r>
      <w:proofErr w:type="spellEnd"/>
      <w:r w:rsidRPr="00DF6AF6">
        <w:rPr>
          <w:rFonts w:ascii="Times New Roman" w:hAnsi="Times New Roman" w:cs="Times New Roman"/>
          <w:sz w:val="28"/>
          <w:szCs w:val="28"/>
        </w:rPr>
        <w:t xml:space="preserve"> with such restrictions and modifications as it thought fit any law in force </w:t>
      </w:r>
      <w:r w:rsidRPr="00DF6AF6">
        <w:rPr>
          <w:rFonts w:ascii="Times New Roman" w:hAnsi="Times New Roman" w:cs="Times New Roman"/>
          <w:sz w:val="28"/>
          <w:szCs w:val="28"/>
        </w:rPr>
        <w:lastRenderedPageBreak/>
        <w:t xml:space="preserve">in any other part of India, was held intra vires- The case also discussed the validity of the law empowering the Government to extend to part C States any law in force in a part A state and to repeal existing laws-- It was held ultra vires under article 143 of the Constitution asking the Court's opinion on the three questions submitted for its consideration and report. Section 2 of the Part C States (Laws) Act, 1950, runs as </w:t>
      </w:r>
      <w:proofErr w:type="gramStart"/>
      <w:r w:rsidRPr="00DF6AF6">
        <w:rPr>
          <w:rFonts w:ascii="Times New Roman" w:hAnsi="Times New Roman" w:cs="Times New Roman"/>
          <w:sz w:val="28"/>
          <w:szCs w:val="28"/>
        </w:rPr>
        <w:t>follows:-</w:t>
      </w:r>
      <w:proofErr w:type="gramEnd"/>
      <w:r w:rsidRPr="00DF6AF6">
        <w:rPr>
          <w:rFonts w:ascii="Times New Roman" w:hAnsi="Times New Roman" w:cs="Times New Roman"/>
          <w:sz w:val="28"/>
          <w:szCs w:val="28"/>
        </w:rPr>
        <w:t>"Power to extend enactments to certain Part C States. - The Central Government may, by notification in the Official Gazette, extend to any Part C State (other than Coorg and the Andaman and Nicobar Islands) or to any part of such State, with such restrictions and modifications as it thinks fit, any enactment which is in force in a part A State at the date of the notification and provision may be made in any enactment so extended for the repeal or amendment of any corresponding law (other than a Central Act) which is for the time being applicable to that Part C State.</w:t>
      </w:r>
      <w:r w:rsidRPr="00DF6AF6">
        <w:rPr>
          <w:rFonts w:ascii="Times New Roman" w:hAnsi="Times New Roman" w:cs="Times New Roman"/>
          <w:sz w:val="28"/>
          <w:szCs w:val="28"/>
        </w:rPr>
        <w:br/>
      </w:r>
      <w:r w:rsidRPr="00DF6AF6">
        <w:rPr>
          <w:rFonts w:ascii="Times New Roman" w:hAnsi="Times New Roman" w:cs="Times New Roman"/>
          <w:sz w:val="28"/>
          <w:szCs w:val="28"/>
        </w:rPr>
        <w:br/>
        <w:t>The three sections referred to in the three questions are all in respect of what is described as the delegation of legislative power and the three particular Acts are selected to raise the question in respect of the three main stages in the constitutional development of India. The first covers the legislative powers of the Indian Legislature during the period prior to the Government of India Act, 1915. The second is in respect of its legislative power after the Government of India Act, 1935, as amended by the Indian Independence Act of 1947. The last is in respect of the power of the Indian Parliament under the present Constitution of 1950.</w:t>
      </w:r>
      <w:r w:rsidRPr="00DF6AF6">
        <w:rPr>
          <w:rFonts w:ascii="Times New Roman" w:hAnsi="Times New Roman" w:cs="Times New Roman"/>
          <w:sz w:val="28"/>
          <w:szCs w:val="28"/>
        </w:rPr>
        <w:br/>
        <w:t xml:space="preserve">As regards constitution of the delegation of legislative powers the Indian Legislature cannot be in the same position as the prominent British Parliament and how far delegation </w:t>
      </w:r>
      <w:r w:rsidRPr="00DF6AF6">
        <w:rPr>
          <w:rFonts w:ascii="Times New Roman" w:hAnsi="Times New Roman" w:cs="Times New Roman"/>
          <w:sz w:val="28"/>
          <w:szCs w:val="28"/>
        </w:rPr>
        <w:lastRenderedPageBreak/>
        <w:t>is permissible has got to be ascertained in India as a matter of construction from the express provisions of the Indian Constitution. It cannot be said that an unlimited right of delegation is inherent in the legislature power itself. This is not warranted by the provisions of the Constitution and the legitimacy of delegation depends entirely upon its being used as an ancillary measure which the legislature considers to be necessary for the purpose of exercising its legislative powers effectively and completely. The legislature must retain in its own hands the essential legislative functions which consist in declaring the legislative policy and laying down the standard which is to be enacted into a rule of law, and what can be delegated in the task of subordinate legislation which by its very nature is ancillary to the statute which delegates the power to make it. Provided the legislative policy is enunciated with sufficient clearness or a standard laid down the courts cannot and should not interfere with the discretion that undoubtedly rests with the legislature itself in determining the extent of delegation necessary in a particular case. These, in my opinion, are the limits within which delegated legislation is constitutional provided of course the legislature is competent to deal with and legislate on the particular subject-matter. It is in the light of these principles that I propose to examine the constitutional validity of the three legislative provisions in respect to which the reference has been made.</w:t>
      </w:r>
    </w:p>
    <w:p w14:paraId="64BAB8FF" w14:textId="77777777" w:rsidR="00DF6AF6" w:rsidRPr="00DF6AF6" w:rsidRDefault="00DF6AF6" w:rsidP="00DF6AF6">
      <w:pPr>
        <w:spacing w:before="100" w:beforeAutospacing="1" w:after="225" w:line="480" w:lineRule="auto"/>
        <w:rPr>
          <w:rFonts w:ascii="Times New Roman" w:hAnsi="Times New Roman" w:cs="Times New Roman"/>
          <w:sz w:val="28"/>
          <w:szCs w:val="28"/>
          <w:lang w:eastAsia="en-IN"/>
        </w:rPr>
      </w:pPr>
      <w:r w:rsidRPr="00DF6AF6">
        <w:rPr>
          <w:rFonts w:ascii="Times New Roman" w:hAnsi="Times New Roman" w:cs="Times New Roman"/>
          <w:sz w:val="28"/>
          <w:szCs w:val="28"/>
          <w:lang w:eastAsia="en-IN"/>
        </w:rPr>
        <w:t>The Supreme Court took the following view and the 7 opinions were based on the same:</w:t>
      </w:r>
    </w:p>
    <w:p w14:paraId="6A57EB65" w14:textId="77777777" w:rsidR="00DF6AF6" w:rsidRPr="00DF6AF6" w:rsidRDefault="00DF6AF6" w:rsidP="00DF6AF6">
      <w:pPr>
        <w:numPr>
          <w:ilvl w:val="0"/>
          <w:numId w:val="1"/>
        </w:numPr>
        <w:spacing w:before="100" w:beforeAutospacing="1" w:after="100" w:afterAutospacing="1" w:line="480" w:lineRule="auto"/>
        <w:rPr>
          <w:rFonts w:ascii="Times New Roman" w:hAnsi="Times New Roman" w:cs="Times New Roman"/>
          <w:sz w:val="28"/>
          <w:szCs w:val="28"/>
          <w:lang w:eastAsia="en-IN"/>
        </w:rPr>
      </w:pPr>
      <w:r w:rsidRPr="00DF6AF6">
        <w:rPr>
          <w:rFonts w:ascii="Times New Roman" w:hAnsi="Times New Roman" w:cs="Times New Roman"/>
          <w:sz w:val="28"/>
          <w:szCs w:val="28"/>
          <w:lang w:eastAsia="en-IN"/>
        </w:rPr>
        <w:t>“Separation of powers” is not a part of Indian Constitution.</w:t>
      </w:r>
    </w:p>
    <w:p w14:paraId="49EE7CF3" w14:textId="77777777" w:rsidR="00DF6AF6" w:rsidRPr="00DF6AF6" w:rsidRDefault="00DF6AF6" w:rsidP="00DF6AF6">
      <w:pPr>
        <w:numPr>
          <w:ilvl w:val="0"/>
          <w:numId w:val="1"/>
        </w:numPr>
        <w:spacing w:before="100" w:beforeAutospacing="1" w:after="100" w:afterAutospacing="1" w:line="480" w:lineRule="auto"/>
        <w:rPr>
          <w:rFonts w:ascii="Times New Roman" w:hAnsi="Times New Roman" w:cs="Times New Roman"/>
          <w:sz w:val="28"/>
          <w:szCs w:val="28"/>
          <w:lang w:eastAsia="en-IN"/>
        </w:rPr>
      </w:pPr>
      <w:r w:rsidRPr="00DF6AF6">
        <w:rPr>
          <w:rFonts w:ascii="Times New Roman" w:hAnsi="Times New Roman" w:cs="Times New Roman"/>
          <w:sz w:val="28"/>
          <w:szCs w:val="28"/>
          <w:lang w:eastAsia="en-IN"/>
        </w:rPr>
        <w:lastRenderedPageBreak/>
        <w:t xml:space="preserve">Indian parliament was never considered as an agent of anybody. Therefore, doctrine of </w:t>
      </w:r>
      <w:r w:rsidRPr="00DF6AF6">
        <w:rPr>
          <w:rFonts w:ascii="Times New Roman" w:hAnsi="Times New Roman" w:cs="Times New Roman"/>
          <w:b/>
          <w:bCs/>
          <w:i/>
          <w:iCs/>
          <w:sz w:val="28"/>
          <w:szCs w:val="28"/>
          <w:lang w:eastAsia="en-IN"/>
        </w:rPr>
        <w:t xml:space="preserve">delegates non </w:t>
      </w:r>
      <w:proofErr w:type="spellStart"/>
      <w:r w:rsidRPr="00DF6AF6">
        <w:rPr>
          <w:rFonts w:ascii="Times New Roman" w:hAnsi="Times New Roman" w:cs="Times New Roman"/>
          <w:b/>
          <w:bCs/>
          <w:i/>
          <w:iCs/>
          <w:sz w:val="28"/>
          <w:szCs w:val="28"/>
          <w:lang w:eastAsia="en-IN"/>
        </w:rPr>
        <w:t>potest</w:t>
      </w:r>
      <w:proofErr w:type="spellEnd"/>
      <w:r w:rsidRPr="00DF6AF6">
        <w:rPr>
          <w:rFonts w:ascii="Times New Roman" w:hAnsi="Times New Roman" w:cs="Times New Roman"/>
          <w:b/>
          <w:bCs/>
          <w:i/>
          <w:iCs/>
          <w:sz w:val="28"/>
          <w:szCs w:val="28"/>
          <w:lang w:eastAsia="en-IN"/>
        </w:rPr>
        <w:t xml:space="preserve"> </w:t>
      </w:r>
      <w:proofErr w:type="spellStart"/>
      <w:r w:rsidRPr="00DF6AF6">
        <w:rPr>
          <w:rFonts w:ascii="Times New Roman" w:hAnsi="Times New Roman" w:cs="Times New Roman"/>
          <w:b/>
          <w:bCs/>
          <w:i/>
          <w:iCs/>
          <w:sz w:val="28"/>
          <w:szCs w:val="28"/>
          <w:lang w:eastAsia="en-IN"/>
        </w:rPr>
        <w:t>delegare</w:t>
      </w:r>
      <w:proofErr w:type="spellEnd"/>
      <w:r w:rsidRPr="00DF6AF6">
        <w:rPr>
          <w:rFonts w:ascii="Times New Roman" w:hAnsi="Times New Roman" w:cs="Times New Roman"/>
          <w:sz w:val="28"/>
          <w:szCs w:val="28"/>
          <w:lang w:eastAsia="en-IN"/>
        </w:rPr>
        <w:t xml:space="preserve"> is not applicable.</w:t>
      </w:r>
    </w:p>
    <w:p w14:paraId="5D3C4866" w14:textId="77777777" w:rsidR="00DF6AF6" w:rsidRPr="00DF6AF6" w:rsidRDefault="00DF6AF6" w:rsidP="00DF6AF6">
      <w:pPr>
        <w:numPr>
          <w:ilvl w:val="0"/>
          <w:numId w:val="1"/>
        </w:numPr>
        <w:spacing w:before="100" w:beforeAutospacing="1" w:after="100" w:afterAutospacing="1" w:line="480" w:lineRule="auto"/>
        <w:rPr>
          <w:rFonts w:ascii="Times New Roman" w:hAnsi="Times New Roman" w:cs="Times New Roman"/>
          <w:sz w:val="28"/>
          <w:szCs w:val="28"/>
          <w:lang w:eastAsia="en-IN"/>
        </w:rPr>
      </w:pPr>
      <w:r w:rsidRPr="00DF6AF6">
        <w:rPr>
          <w:rFonts w:ascii="Times New Roman" w:hAnsi="Times New Roman" w:cs="Times New Roman"/>
          <w:sz w:val="28"/>
          <w:szCs w:val="28"/>
          <w:lang w:eastAsia="en-IN"/>
        </w:rPr>
        <w:t>Parliament cannot completely abdicate itself by creating a parallel authority.</w:t>
      </w:r>
    </w:p>
    <w:p w14:paraId="6CB24DE3" w14:textId="77777777" w:rsidR="00DF6AF6" w:rsidRPr="00DF6AF6" w:rsidRDefault="00DF6AF6" w:rsidP="00DF6AF6">
      <w:pPr>
        <w:numPr>
          <w:ilvl w:val="0"/>
          <w:numId w:val="1"/>
        </w:numPr>
        <w:spacing w:before="100" w:beforeAutospacing="1" w:after="100" w:afterAutospacing="1" w:line="480" w:lineRule="auto"/>
        <w:rPr>
          <w:rFonts w:ascii="Times New Roman" w:hAnsi="Times New Roman" w:cs="Times New Roman"/>
          <w:sz w:val="28"/>
          <w:szCs w:val="28"/>
          <w:lang w:eastAsia="en-IN"/>
        </w:rPr>
      </w:pPr>
      <w:r w:rsidRPr="00DF6AF6">
        <w:rPr>
          <w:rFonts w:ascii="Times New Roman" w:hAnsi="Times New Roman" w:cs="Times New Roman"/>
          <w:sz w:val="28"/>
          <w:szCs w:val="28"/>
          <w:lang w:eastAsia="en-IN"/>
        </w:rPr>
        <w:t>Only ancillary functions can be delegated.</w:t>
      </w:r>
    </w:p>
    <w:p w14:paraId="0F62FFB2" w14:textId="77777777" w:rsidR="00DF6AF6" w:rsidRPr="00DF6AF6" w:rsidRDefault="00DF6AF6" w:rsidP="00DF6AF6">
      <w:pPr>
        <w:numPr>
          <w:ilvl w:val="0"/>
          <w:numId w:val="1"/>
        </w:numPr>
        <w:spacing w:before="100" w:beforeAutospacing="1" w:after="100" w:afterAutospacing="1" w:line="480" w:lineRule="auto"/>
        <w:rPr>
          <w:rFonts w:ascii="Times New Roman" w:hAnsi="Times New Roman" w:cs="Times New Roman"/>
          <w:sz w:val="28"/>
          <w:szCs w:val="28"/>
          <w:lang w:eastAsia="en-IN"/>
        </w:rPr>
      </w:pPr>
      <w:r w:rsidRPr="00DF6AF6">
        <w:rPr>
          <w:rFonts w:ascii="Times New Roman" w:hAnsi="Times New Roman" w:cs="Times New Roman"/>
          <w:sz w:val="28"/>
          <w:szCs w:val="28"/>
          <w:lang w:eastAsia="en-IN"/>
        </w:rPr>
        <w:t>There is a limitation on delegation of power. Legislature cannot delegate its essential functions. Essential functions involve laying down the policy of the law and enacting that policy into binding rules of conduct.</w:t>
      </w:r>
    </w:p>
    <w:p w14:paraId="63F7F773" w14:textId="77777777" w:rsidR="00DF6AF6" w:rsidRPr="00DF6AF6" w:rsidRDefault="00DF6AF6" w:rsidP="00DF6AF6">
      <w:pPr>
        <w:spacing w:before="100" w:beforeAutospacing="1" w:after="100" w:afterAutospacing="1" w:line="480" w:lineRule="auto"/>
        <w:ind w:left="720"/>
        <w:rPr>
          <w:rFonts w:ascii="Times New Roman" w:hAnsi="Times New Roman" w:cs="Times New Roman"/>
          <w:sz w:val="28"/>
          <w:szCs w:val="28"/>
        </w:rPr>
      </w:pPr>
    </w:p>
    <w:p w14:paraId="3ADCE1ED" w14:textId="77777777" w:rsidR="00DF6AF6" w:rsidRPr="00DF6AF6" w:rsidRDefault="00DF6AF6" w:rsidP="00DF6AF6">
      <w:pPr>
        <w:spacing w:before="100" w:beforeAutospacing="1" w:after="100" w:afterAutospacing="1" w:line="480" w:lineRule="auto"/>
        <w:jc w:val="both"/>
        <w:rPr>
          <w:rFonts w:ascii="Times New Roman" w:hAnsi="Times New Roman" w:cs="Times New Roman"/>
          <w:sz w:val="28"/>
          <w:szCs w:val="28"/>
          <w:lang w:eastAsia="en-IN"/>
        </w:rPr>
      </w:pPr>
      <w:r w:rsidRPr="00DF6AF6">
        <w:rPr>
          <w:rFonts w:ascii="Times New Roman" w:hAnsi="Times New Roman" w:cs="Times New Roman"/>
          <w:sz w:val="28"/>
          <w:szCs w:val="28"/>
        </w:rPr>
        <w:t xml:space="preserve">In case of </w:t>
      </w:r>
      <w:r w:rsidRPr="00DF6AF6">
        <w:rPr>
          <w:rFonts w:ascii="Times New Roman" w:hAnsi="Times New Roman" w:cs="Times New Roman"/>
          <w:b/>
          <w:bCs/>
          <w:i/>
          <w:iCs/>
          <w:sz w:val="28"/>
          <w:szCs w:val="28"/>
        </w:rPr>
        <w:t xml:space="preserve">Raj </w:t>
      </w:r>
      <w:proofErr w:type="spellStart"/>
      <w:r w:rsidRPr="00DF6AF6">
        <w:rPr>
          <w:rFonts w:ascii="Times New Roman" w:hAnsi="Times New Roman" w:cs="Times New Roman"/>
          <w:b/>
          <w:bCs/>
          <w:i/>
          <w:iCs/>
          <w:sz w:val="28"/>
          <w:szCs w:val="28"/>
        </w:rPr>
        <w:t>Narain</w:t>
      </w:r>
      <w:proofErr w:type="spellEnd"/>
      <w:r w:rsidRPr="00DF6AF6">
        <w:rPr>
          <w:rFonts w:ascii="Times New Roman" w:hAnsi="Times New Roman" w:cs="Times New Roman"/>
          <w:b/>
          <w:bCs/>
          <w:i/>
          <w:iCs/>
          <w:sz w:val="28"/>
          <w:szCs w:val="28"/>
        </w:rPr>
        <w:t xml:space="preserve"> Singh v. Chairman Patna Administration committee</w:t>
      </w:r>
      <w:r w:rsidRPr="00DF6AF6">
        <w:rPr>
          <w:rFonts w:ascii="Times New Roman" w:hAnsi="Times New Roman" w:cs="Times New Roman"/>
          <w:sz w:val="28"/>
          <w:szCs w:val="28"/>
        </w:rPr>
        <w:t xml:space="preserve"> </w:t>
      </w:r>
      <w:r w:rsidRPr="00DF6AF6">
        <w:rPr>
          <w:rStyle w:val="FootnoteReference"/>
          <w:rFonts w:ascii="Times New Roman" w:hAnsi="Times New Roman" w:cs="Times New Roman"/>
          <w:sz w:val="28"/>
          <w:szCs w:val="28"/>
        </w:rPr>
        <w:footnoteReference w:id="2"/>
      </w:r>
      <w:r w:rsidRPr="00DF6AF6">
        <w:rPr>
          <w:rFonts w:ascii="Times New Roman" w:hAnsi="Times New Roman" w:cs="Times New Roman"/>
          <w:sz w:val="28"/>
          <w:szCs w:val="28"/>
        </w:rPr>
        <w:t xml:space="preserve"> in which S.3(1)(f) wherein the Bihar &amp; Orissa Act, empowered the local administration to extend to Patna the provisions of any sections of the act (Bengal Municipality Act, 1884) subject to such modification, as it might think fit. The government picked up section 104 and after modifications applied it to the town of Patna. One of the essential features of the Act was the provision that no municipality competent to tax could be thrust upon a locality without giving its inhabitants a chance of being heard and of being given as opportunity to object. The sections which provided for an opportunity to object were excluded from the notification. It was held as amounting to tamper with the policy of the Act.</w:t>
      </w:r>
      <w:r w:rsidRPr="00DF6AF6">
        <w:rPr>
          <w:rFonts w:ascii="Times New Roman" w:hAnsi="Times New Roman" w:cs="Times New Roman"/>
          <w:sz w:val="28"/>
          <w:szCs w:val="28"/>
        </w:rPr>
        <w:br/>
      </w:r>
      <w:r w:rsidRPr="00DF6AF6">
        <w:rPr>
          <w:rFonts w:ascii="Times New Roman" w:hAnsi="Times New Roman" w:cs="Times New Roman"/>
          <w:sz w:val="28"/>
          <w:szCs w:val="28"/>
        </w:rPr>
        <w:br/>
        <w:t xml:space="preserve">In </w:t>
      </w:r>
      <w:proofErr w:type="spellStart"/>
      <w:r w:rsidRPr="00DF6AF6">
        <w:rPr>
          <w:rFonts w:ascii="Times New Roman" w:hAnsi="Times New Roman" w:cs="Times New Roman"/>
          <w:b/>
          <w:bCs/>
          <w:i/>
          <w:iCs/>
          <w:sz w:val="28"/>
          <w:szCs w:val="28"/>
        </w:rPr>
        <w:t>Lachmi</w:t>
      </w:r>
      <w:proofErr w:type="spellEnd"/>
      <w:r w:rsidRPr="00DF6AF6">
        <w:rPr>
          <w:rFonts w:ascii="Times New Roman" w:hAnsi="Times New Roman" w:cs="Times New Roman"/>
          <w:b/>
          <w:bCs/>
          <w:i/>
          <w:iCs/>
          <w:sz w:val="28"/>
          <w:szCs w:val="28"/>
        </w:rPr>
        <w:t xml:space="preserve"> </w:t>
      </w:r>
      <w:proofErr w:type="spellStart"/>
      <w:r w:rsidRPr="00DF6AF6">
        <w:rPr>
          <w:rFonts w:ascii="Times New Roman" w:hAnsi="Times New Roman" w:cs="Times New Roman"/>
          <w:b/>
          <w:bCs/>
          <w:i/>
          <w:iCs/>
          <w:sz w:val="28"/>
          <w:szCs w:val="28"/>
        </w:rPr>
        <w:t>Narain</w:t>
      </w:r>
      <w:proofErr w:type="spellEnd"/>
      <w:r w:rsidRPr="00DF6AF6">
        <w:rPr>
          <w:rFonts w:ascii="Times New Roman" w:hAnsi="Times New Roman" w:cs="Times New Roman"/>
          <w:b/>
          <w:bCs/>
          <w:i/>
          <w:iCs/>
          <w:sz w:val="28"/>
          <w:szCs w:val="28"/>
        </w:rPr>
        <w:t xml:space="preserve"> v. UOI</w:t>
      </w:r>
      <w:r w:rsidRPr="00DF6AF6">
        <w:rPr>
          <w:rFonts w:ascii="Times New Roman" w:hAnsi="Times New Roman" w:cs="Times New Roman"/>
          <w:sz w:val="28"/>
          <w:szCs w:val="28"/>
        </w:rPr>
        <w:t xml:space="preserve"> </w:t>
      </w:r>
      <w:r w:rsidRPr="00DF6AF6">
        <w:rPr>
          <w:rStyle w:val="FootnoteReference"/>
          <w:rFonts w:ascii="Times New Roman" w:hAnsi="Times New Roman" w:cs="Times New Roman"/>
          <w:sz w:val="28"/>
          <w:szCs w:val="28"/>
        </w:rPr>
        <w:footnoteReference w:id="3"/>
      </w:r>
      <w:r w:rsidRPr="00DF6AF6">
        <w:rPr>
          <w:rFonts w:ascii="Times New Roman" w:hAnsi="Times New Roman" w:cs="Times New Roman"/>
          <w:sz w:val="28"/>
          <w:szCs w:val="28"/>
        </w:rPr>
        <w:t xml:space="preserve">where the validity of Section 2 of Union Territories (Laws) </w:t>
      </w:r>
      <w:r w:rsidRPr="00DF6AF6">
        <w:rPr>
          <w:rFonts w:ascii="Times New Roman" w:hAnsi="Times New Roman" w:cs="Times New Roman"/>
          <w:sz w:val="28"/>
          <w:szCs w:val="28"/>
        </w:rPr>
        <w:lastRenderedPageBreak/>
        <w:t>Act, 1950 and Section 6 of Bengal Finance (Sales Tax) Act, 1941 was to be determined. The issue was that whether notification issued by Central Government in purported exercise of its powers under Section 2 ultra vires of Central Government.</w:t>
      </w:r>
    </w:p>
    <w:p w14:paraId="028CB03A" w14:textId="77777777" w:rsidR="001E2370" w:rsidRPr="00DF6AF6" w:rsidRDefault="001E2370" w:rsidP="00DF6AF6">
      <w:pPr>
        <w:spacing w:line="480" w:lineRule="auto"/>
        <w:rPr>
          <w:rFonts w:ascii="Times New Roman" w:hAnsi="Times New Roman" w:cs="Times New Roman"/>
          <w:sz w:val="28"/>
          <w:szCs w:val="28"/>
        </w:rPr>
      </w:pPr>
    </w:p>
    <w:sectPr w:rsidR="001E2370" w:rsidRPr="00DF6AF6" w:rsidSect="00134CB1">
      <w:pgSz w:w="11910" w:h="16840"/>
      <w:pgMar w:top="1060" w:right="998" w:bottom="1038" w:left="1021" w:header="0" w:footer="85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5DEF3" w14:textId="77777777" w:rsidR="00EC3F63" w:rsidRDefault="00EC3F63" w:rsidP="00DF6AF6">
      <w:pPr>
        <w:spacing w:after="0" w:line="240" w:lineRule="auto"/>
      </w:pPr>
      <w:r>
        <w:separator/>
      </w:r>
    </w:p>
  </w:endnote>
  <w:endnote w:type="continuationSeparator" w:id="0">
    <w:p w14:paraId="12146D6B" w14:textId="77777777" w:rsidR="00EC3F63" w:rsidRDefault="00EC3F63" w:rsidP="00DF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43A90" w14:textId="77777777" w:rsidR="00EC3F63" w:rsidRDefault="00EC3F63" w:rsidP="00DF6AF6">
      <w:pPr>
        <w:spacing w:after="0" w:line="240" w:lineRule="auto"/>
      </w:pPr>
      <w:r>
        <w:separator/>
      </w:r>
    </w:p>
  </w:footnote>
  <w:footnote w:type="continuationSeparator" w:id="0">
    <w:p w14:paraId="4CDD886C" w14:textId="77777777" w:rsidR="00EC3F63" w:rsidRDefault="00EC3F63" w:rsidP="00DF6AF6">
      <w:pPr>
        <w:spacing w:after="0" w:line="240" w:lineRule="auto"/>
      </w:pPr>
      <w:r>
        <w:continuationSeparator/>
      </w:r>
    </w:p>
  </w:footnote>
  <w:footnote w:id="1">
    <w:p w14:paraId="46D41132" w14:textId="77777777" w:rsidR="00DF6AF6" w:rsidRPr="00910CBA" w:rsidRDefault="00DF6AF6" w:rsidP="00DF6AF6">
      <w:pPr>
        <w:pStyle w:val="FootnoteText"/>
        <w:rPr>
          <w:lang w:val="en-US"/>
        </w:rPr>
      </w:pPr>
      <w:r>
        <w:rPr>
          <w:rStyle w:val="FootnoteReference"/>
        </w:rPr>
        <w:footnoteRef/>
      </w:r>
      <w:r>
        <w:t xml:space="preserve"> </w:t>
      </w:r>
      <w:r>
        <w:rPr>
          <w:lang w:val="en-US"/>
        </w:rPr>
        <w:t>(1878) 5 I.A. 178.</w:t>
      </w:r>
    </w:p>
  </w:footnote>
  <w:footnote w:id="2">
    <w:p w14:paraId="50A48BAC" w14:textId="77777777" w:rsidR="00DF6AF6" w:rsidRPr="004A487C" w:rsidRDefault="00DF6AF6" w:rsidP="00DF6AF6">
      <w:pPr>
        <w:pStyle w:val="FootnoteText"/>
        <w:rPr>
          <w:lang w:val="en-US"/>
        </w:rPr>
      </w:pPr>
      <w:r>
        <w:rPr>
          <w:rStyle w:val="FootnoteReference"/>
        </w:rPr>
        <w:footnoteRef/>
      </w:r>
      <w:r>
        <w:t xml:space="preserve"> </w:t>
      </w:r>
      <w:r w:rsidRPr="004A487C">
        <w:rPr>
          <w:rFonts w:ascii="Times New Roman" w:hAnsi="Times New Roman" w:cs="Times New Roman"/>
          <w:sz w:val="28"/>
          <w:szCs w:val="28"/>
        </w:rPr>
        <w:t>Air 1954 SC 569</w:t>
      </w:r>
    </w:p>
  </w:footnote>
  <w:footnote w:id="3">
    <w:p w14:paraId="538F1D86" w14:textId="77777777" w:rsidR="00DF6AF6" w:rsidRPr="004A487C" w:rsidRDefault="00DF6AF6" w:rsidP="00DF6AF6">
      <w:pPr>
        <w:pStyle w:val="FootnoteText"/>
        <w:rPr>
          <w:lang w:val="en-US"/>
        </w:rPr>
      </w:pPr>
      <w:r>
        <w:rPr>
          <w:rStyle w:val="FootnoteReference"/>
        </w:rPr>
        <w:footnoteRef/>
      </w:r>
      <w:r>
        <w:t xml:space="preserve"> </w:t>
      </w:r>
      <w:r w:rsidRPr="004A487C">
        <w:rPr>
          <w:rFonts w:ascii="Times New Roman" w:hAnsi="Times New Roman" w:cs="Times New Roman"/>
          <w:sz w:val="28"/>
          <w:szCs w:val="28"/>
        </w:rPr>
        <w:t>(1976 2) SCC 95</w:t>
      </w:r>
      <w:r>
        <w:rPr>
          <w:rFonts w:ascii="Times New Roman" w:hAnsi="Times New Roman" w:cs="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A19AC"/>
    <w:multiLevelType w:val="multilevel"/>
    <w:tmpl w:val="337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B4"/>
    <w:rsid w:val="00134CB1"/>
    <w:rsid w:val="001E2370"/>
    <w:rsid w:val="00504AB4"/>
    <w:rsid w:val="00DF6AF6"/>
    <w:rsid w:val="00EC3F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4264"/>
  <w15:chartTrackingRefBased/>
  <w15:docId w15:val="{BDAE5AD4-0507-43B1-B845-4A01151E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6A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AF6"/>
    <w:rPr>
      <w:sz w:val="20"/>
      <w:szCs w:val="20"/>
    </w:rPr>
  </w:style>
  <w:style w:type="character" w:styleId="FootnoteReference">
    <w:name w:val="footnote reference"/>
    <w:basedOn w:val="DefaultParagraphFont"/>
    <w:uiPriority w:val="99"/>
    <w:semiHidden/>
    <w:unhideWhenUsed/>
    <w:rsid w:val="00DF6AF6"/>
    <w:rPr>
      <w:vertAlign w:val="superscript"/>
    </w:rPr>
  </w:style>
  <w:style w:type="paragraph" w:styleId="NormalWeb">
    <w:name w:val="Normal (Web)"/>
    <w:basedOn w:val="Normal"/>
    <w:uiPriority w:val="99"/>
    <w:semiHidden/>
    <w:unhideWhenUsed/>
    <w:rsid w:val="00DF6AF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Swarnim Ghatani</dc:creator>
  <cp:keywords/>
  <dc:description/>
  <cp:lastModifiedBy>Swarnim Ghatani</cp:lastModifiedBy>
  <cp:revision>2</cp:revision>
  <dcterms:created xsi:type="dcterms:W3CDTF">2021-01-17T14:56:00Z</dcterms:created>
  <dcterms:modified xsi:type="dcterms:W3CDTF">2021-01-17T15:00:00Z</dcterms:modified>
</cp:coreProperties>
</file>